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667745439"/>
        <w:docPartObj>
          <w:docPartGallery w:val="Cover Pages"/>
          <w:docPartUnique/>
        </w:docPartObj>
      </w:sdtPr>
      <w:sdtEndPr>
        <w:rPr>
          <w:lang w:val="en-US"/>
        </w:rPr>
      </w:sdtEndPr>
      <w:sdtContent>
        <w:p w14:paraId="185FB065" w14:textId="74350956" w:rsidR="00BD41B9" w:rsidRDefault="00BD41B9">
          <w:r>
            <w:rPr>
              <w:noProof/>
            </w:rPr>
            <mc:AlternateContent>
              <mc:Choice Requires="wpg">
                <w:drawing>
                  <wp:anchor distT="0" distB="0" distL="114300" distR="114300" simplePos="0" relativeHeight="251659264" behindDoc="1" locked="0" layoutInCell="1" allowOverlap="1" wp14:anchorId="29FED947" wp14:editId="30E23051">
                    <wp:simplePos x="0" y="0"/>
                    <wp:positionH relativeFrom="page">
                      <wp:align>center</wp:align>
                    </wp:positionH>
                    <wp:positionV relativeFrom="page">
                      <wp:align>center</wp:align>
                    </wp:positionV>
                    <wp:extent cx="6858000" cy="9144000"/>
                    <wp:effectExtent l="0" t="0" r="2540" b="635"/>
                    <wp:wrapNone/>
                    <wp:docPr id="48" name="Group 14"/>
                    <wp:cNvGraphicFramePr/>
                    <a:graphic xmlns:a="http://schemas.openxmlformats.org/drawingml/2006/main">
                      <a:graphicData uri="http://schemas.microsoft.com/office/word/2010/wordprocessingGroup">
                        <wpg:wgp>
                          <wpg:cNvGrpSpPr/>
                          <wpg:grpSpPr>
                            <a:xfrm>
                              <a:off x="0" y="0"/>
                              <a:ext cx="6858000" cy="9144000"/>
                              <a:chOff x="0" y="0"/>
                              <a:chExt cx="6858000" cy="9144000"/>
                            </a:xfrm>
                          </wpg:grpSpPr>
                          <wpg:grpSp>
                            <wpg:cNvPr id="49" name="Group 49"/>
                            <wpg:cNvGrpSpPr/>
                            <wpg:grpSpPr>
                              <a:xfrm>
                                <a:off x="0" y="0"/>
                                <a:ext cx="6858000" cy="9144000"/>
                                <a:chOff x="0" y="0"/>
                                <a:chExt cx="6858000" cy="9144000"/>
                              </a:xfrm>
                            </wpg:grpSpPr>
                            <wps:wsp>
                              <wps:cNvPr id="54" name="Rectangle 54"/>
                              <wps:cNvSpPr/>
                              <wps:spPr>
                                <a:xfrm>
                                  <a:off x="0" y="0"/>
                                  <a:ext cx="6858000" cy="9144000"/>
                                </a:xfrm>
                                <a:prstGeom prst="rect">
                                  <a:avLst/>
                                </a:prstGeom>
                                <a:gradFill>
                                  <a:gsLst>
                                    <a:gs pos="10000">
                                      <a:schemeClr val="dk2">
                                        <a:tint val="97000"/>
                                        <a:hueMod val="92000"/>
                                        <a:satMod val="169000"/>
                                        <a:lumMod val="164000"/>
                                      </a:schemeClr>
                                    </a:gs>
                                    <a:gs pos="100000">
                                      <a:schemeClr val="dk2">
                                        <a:shade val="96000"/>
                                        <a:satMod val="120000"/>
                                        <a:lumMod val="90000"/>
                                      </a:schemeClr>
                                    </a:gs>
                                  </a:gsLst>
                                  <a:lin ang="6120000" scaled="1"/>
                                </a:gradFill>
                                <a:ln>
                                  <a:noFill/>
                                </a:ln>
                              </wps:spPr>
                              <wps:style>
                                <a:lnRef idx="2">
                                  <a:schemeClr val="accent1">
                                    <a:shade val="50000"/>
                                  </a:schemeClr>
                                </a:lnRef>
                                <a:fillRef idx="1002">
                                  <a:schemeClr val="dk2"/>
                                </a:fillRef>
                                <a:effectRef idx="0">
                                  <a:schemeClr val="accent1"/>
                                </a:effectRef>
                                <a:fontRef idx="minor">
                                  <a:schemeClr val="lt1"/>
                                </a:fontRef>
                              </wps:style>
                              <wps:txbx>
                                <w:txbxContent>
                                  <w:p w14:paraId="2D1A5A57" w14:textId="77777777" w:rsidR="00BD41B9" w:rsidRDefault="00BD41B9">
                                    <w:pPr>
                                      <w:pStyle w:val="a3"/>
                                      <w:rPr>
                                        <w:color w:val="FFFFFF" w:themeColor="background1"/>
                                        <w:sz w:val="48"/>
                                        <w:szCs w:val="48"/>
                                      </w:rPr>
                                    </w:pPr>
                                  </w:p>
                                </w:txbxContent>
                              </wps:txbx>
                              <wps:bodyPr rot="0" spcFirstLastPara="0" vertOverflow="overflow" horzOverflow="overflow" vert="horz" wrap="square" lIns="685800" tIns="685800" rIns="914400" bIns="4572000" numCol="1" spcCol="0" rtlCol="0" fromWordArt="0" anchor="t" anchorCtr="0" forceAA="0" compatLnSpc="1">
                                <a:prstTxWarp prst="textNoShape">
                                  <a:avLst/>
                                </a:prstTxWarp>
                                <a:noAutofit/>
                              </wps:bodyPr>
                            </wps:wsp>
                            <wpg:grpSp>
                              <wpg:cNvPr id="55" name="Group 2"/>
                              <wpg:cNvGrpSpPr/>
                              <wpg:grpSpPr>
                                <a:xfrm>
                                  <a:off x="2524125" y="0"/>
                                  <a:ext cx="4329113" cy="4491038"/>
                                  <a:chOff x="0" y="0"/>
                                  <a:chExt cx="4329113" cy="4491038"/>
                                </a:xfrm>
                                <a:solidFill>
                                  <a:schemeClr val="bg1"/>
                                </a:solidFill>
                              </wpg:grpSpPr>
                              <wps:wsp>
                                <wps:cNvPr id="56" name="Freeform 56"/>
                                <wps:cNvSpPr>
                                  <a:spLocks/>
                                </wps:cNvSpPr>
                                <wps:spPr bwMode="auto">
                                  <a:xfrm>
                                    <a:off x="1501775" y="0"/>
                                    <a:ext cx="2827338" cy="2835275"/>
                                  </a:xfrm>
                                  <a:custGeom>
                                    <a:avLst/>
                                    <a:gdLst>
                                      <a:gd name="T0" fmla="*/ 4 w 1781"/>
                                      <a:gd name="T1" fmla="*/ 1786 h 1786"/>
                                      <a:gd name="T2" fmla="*/ 0 w 1781"/>
                                      <a:gd name="T3" fmla="*/ 1782 h 1786"/>
                                      <a:gd name="T4" fmla="*/ 1776 w 1781"/>
                                      <a:gd name="T5" fmla="*/ 0 h 1786"/>
                                      <a:gd name="T6" fmla="*/ 1781 w 1781"/>
                                      <a:gd name="T7" fmla="*/ 5 h 1786"/>
                                      <a:gd name="T8" fmla="*/ 4 w 1781"/>
                                      <a:gd name="T9" fmla="*/ 1786 h 1786"/>
                                    </a:gdLst>
                                    <a:ahLst/>
                                    <a:cxnLst>
                                      <a:cxn ang="0">
                                        <a:pos x="T0" y="T1"/>
                                      </a:cxn>
                                      <a:cxn ang="0">
                                        <a:pos x="T2" y="T3"/>
                                      </a:cxn>
                                      <a:cxn ang="0">
                                        <a:pos x="T4" y="T5"/>
                                      </a:cxn>
                                      <a:cxn ang="0">
                                        <a:pos x="T6" y="T7"/>
                                      </a:cxn>
                                      <a:cxn ang="0">
                                        <a:pos x="T8" y="T9"/>
                                      </a:cxn>
                                    </a:cxnLst>
                                    <a:rect l="0" t="0" r="r" b="b"/>
                                    <a:pathLst>
                                      <a:path w="1781" h="1786">
                                        <a:moveTo>
                                          <a:pt x="4" y="1786"/>
                                        </a:moveTo>
                                        <a:lnTo>
                                          <a:pt x="0" y="1782"/>
                                        </a:lnTo>
                                        <a:lnTo>
                                          <a:pt x="1776" y="0"/>
                                        </a:lnTo>
                                        <a:lnTo>
                                          <a:pt x="1781" y="5"/>
                                        </a:lnTo>
                                        <a:lnTo>
                                          <a:pt x="4" y="178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7" name="Freeform 57"/>
                                <wps:cNvSpPr>
                                  <a:spLocks/>
                                </wps:cNvSpPr>
                                <wps:spPr bwMode="auto">
                                  <a:xfrm>
                                    <a:off x="782637" y="227013"/>
                                    <a:ext cx="3546475" cy="3546475"/>
                                  </a:xfrm>
                                  <a:custGeom>
                                    <a:avLst/>
                                    <a:gdLst>
                                      <a:gd name="T0" fmla="*/ 5 w 2234"/>
                                      <a:gd name="T1" fmla="*/ 2234 h 2234"/>
                                      <a:gd name="T2" fmla="*/ 0 w 2234"/>
                                      <a:gd name="T3" fmla="*/ 2229 h 2234"/>
                                      <a:gd name="T4" fmla="*/ 2229 w 2234"/>
                                      <a:gd name="T5" fmla="*/ 0 h 2234"/>
                                      <a:gd name="T6" fmla="*/ 2234 w 2234"/>
                                      <a:gd name="T7" fmla="*/ 5 h 2234"/>
                                      <a:gd name="T8" fmla="*/ 5 w 2234"/>
                                      <a:gd name="T9" fmla="*/ 2234 h 2234"/>
                                    </a:gdLst>
                                    <a:ahLst/>
                                    <a:cxnLst>
                                      <a:cxn ang="0">
                                        <a:pos x="T0" y="T1"/>
                                      </a:cxn>
                                      <a:cxn ang="0">
                                        <a:pos x="T2" y="T3"/>
                                      </a:cxn>
                                      <a:cxn ang="0">
                                        <a:pos x="T4" y="T5"/>
                                      </a:cxn>
                                      <a:cxn ang="0">
                                        <a:pos x="T6" y="T7"/>
                                      </a:cxn>
                                      <a:cxn ang="0">
                                        <a:pos x="T8" y="T9"/>
                                      </a:cxn>
                                    </a:cxnLst>
                                    <a:rect l="0" t="0" r="r" b="b"/>
                                    <a:pathLst>
                                      <a:path w="2234" h="2234">
                                        <a:moveTo>
                                          <a:pt x="5" y="2234"/>
                                        </a:moveTo>
                                        <a:lnTo>
                                          <a:pt x="0" y="2229"/>
                                        </a:lnTo>
                                        <a:lnTo>
                                          <a:pt x="2229" y="0"/>
                                        </a:lnTo>
                                        <a:lnTo>
                                          <a:pt x="2234" y="5"/>
                                        </a:lnTo>
                                        <a:lnTo>
                                          <a:pt x="5" y="2234"/>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8" name="Freeform 58"/>
                                <wps:cNvSpPr>
                                  <a:spLocks/>
                                </wps:cNvSpPr>
                                <wps:spPr bwMode="auto">
                                  <a:xfrm>
                                    <a:off x="841375" y="109538"/>
                                    <a:ext cx="3487738" cy="3487738"/>
                                  </a:xfrm>
                                  <a:custGeom>
                                    <a:avLst/>
                                    <a:gdLst>
                                      <a:gd name="T0" fmla="*/ 9 w 2197"/>
                                      <a:gd name="T1" fmla="*/ 2197 h 2197"/>
                                      <a:gd name="T2" fmla="*/ 0 w 2197"/>
                                      <a:gd name="T3" fmla="*/ 2193 h 2197"/>
                                      <a:gd name="T4" fmla="*/ 2188 w 2197"/>
                                      <a:gd name="T5" fmla="*/ 0 h 2197"/>
                                      <a:gd name="T6" fmla="*/ 2197 w 2197"/>
                                      <a:gd name="T7" fmla="*/ 10 h 2197"/>
                                      <a:gd name="T8" fmla="*/ 9 w 2197"/>
                                      <a:gd name="T9" fmla="*/ 2197 h 2197"/>
                                    </a:gdLst>
                                    <a:ahLst/>
                                    <a:cxnLst>
                                      <a:cxn ang="0">
                                        <a:pos x="T0" y="T1"/>
                                      </a:cxn>
                                      <a:cxn ang="0">
                                        <a:pos x="T2" y="T3"/>
                                      </a:cxn>
                                      <a:cxn ang="0">
                                        <a:pos x="T4" y="T5"/>
                                      </a:cxn>
                                      <a:cxn ang="0">
                                        <a:pos x="T6" y="T7"/>
                                      </a:cxn>
                                      <a:cxn ang="0">
                                        <a:pos x="T8" y="T9"/>
                                      </a:cxn>
                                    </a:cxnLst>
                                    <a:rect l="0" t="0" r="r" b="b"/>
                                    <a:pathLst>
                                      <a:path w="2197" h="2197">
                                        <a:moveTo>
                                          <a:pt x="9" y="2197"/>
                                        </a:moveTo>
                                        <a:lnTo>
                                          <a:pt x="0" y="2193"/>
                                        </a:lnTo>
                                        <a:lnTo>
                                          <a:pt x="2188" y="0"/>
                                        </a:lnTo>
                                        <a:lnTo>
                                          <a:pt x="2197" y="10"/>
                                        </a:lnTo>
                                        <a:lnTo>
                                          <a:pt x="9" y="2197"/>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9" name="Freeform 59"/>
                                <wps:cNvSpPr>
                                  <a:spLocks/>
                                </wps:cNvSpPr>
                                <wps:spPr bwMode="auto">
                                  <a:xfrm>
                                    <a:off x="1216025" y="498475"/>
                                    <a:ext cx="3113088" cy="3121025"/>
                                  </a:xfrm>
                                  <a:custGeom>
                                    <a:avLst/>
                                    <a:gdLst>
                                      <a:gd name="T0" fmla="*/ 9 w 1961"/>
                                      <a:gd name="T1" fmla="*/ 1966 h 1966"/>
                                      <a:gd name="T2" fmla="*/ 0 w 1961"/>
                                      <a:gd name="T3" fmla="*/ 1957 h 1966"/>
                                      <a:gd name="T4" fmla="*/ 1952 w 1961"/>
                                      <a:gd name="T5" fmla="*/ 0 h 1966"/>
                                      <a:gd name="T6" fmla="*/ 1961 w 1961"/>
                                      <a:gd name="T7" fmla="*/ 9 h 1966"/>
                                      <a:gd name="T8" fmla="*/ 9 w 1961"/>
                                      <a:gd name="T9" fmla="*/ 1966 h 1966"/>
                                    </a:gdLst>
                                    <a:ahLst/>
                                    <a:cxnLst>
                                      <a:cxn ang="0">
                                        <a:pos x="T0" y="T1"/>
                                      </a:cxn>
                                      <a:cxn ang="0">
                                        <a:pos x="T2" y="T3"/>
                                      </a:cxn>
                                      <a:cxn ang="0">
                                        <a:pos x="T4" y="T5"/>
                                      </a:cxn>
                                      <a:cxn ang="0">
                                        <a:pos x="T6" y="T7"/>
                                      </a:cxn>
                                      <a:cxn ang="0">
                                        <a:pos x="T8" y="T9"/>
                                      </a:cxn>
                                    </a:cxnLst>
                                    <a:rect l="0" t="0" r="r" b="b"/>
                                    <a:pathLst>
                                      <a:path w="1961" h="1966">
                                        <a:moveTo>
                                          <a:pt x="9" y="1966"/>
                                        </a:moveTo>
                                        <a:lnTo>
                                          <a:pt x="0" y="1957"/>
                                        </a:lnTo>
                                        <a:lnTo>
                                          <a:pt x="1952" y="0"/>
                                        </a:lnTo>
                                        <a:lnTo>
                                          <a:pt x="1961" y="9"/>
                                        </a:lnTo>
                                        <a:lnTo>
                                          <a:pt x="9" y="196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0" name="Freeform 60"/>
                                <wps:cNvSpPr>
                                  <a:spLocks/>
                                </wps:cNvSpPr>
                                <wps:spPr bwMode="auto">
                                  <a:xfrm>
                                    <a:off x="0" y="153988"/>
                                    <a:ext cx="4329113" cy="4337050"/>
                                  </a:xfrm>
                                  <a:custGeom>
                                    <a:avLst/>
                                    <a:gdLst>
                                      <a:gd name="T0" fmla="*/ 0 w 2727"/>
                                      <a:gd name="T1" fmla="*/ 2732 h 2732"/>
                                      <a:gd name="T2" fmla="*/ 0 w 2727"/>
                                      <a:gd name="T3" fmla="*/ 2728 h 2732"/>
                                      <a:gd name="T4" fmla="*/ 2722 w 2727"/>
                                      <a:gd name="T5" fmla="*/ 0 h 2732"/>
                                      <a:gd name="T6" fmla="*/ 2727 w 2727"/>
                                      <a:gd name="T7" fmla="*/ 5 h 2732"/>
                                      <a:gd name="T8" fmla="*/ 0 w 2727"/>
                                      <a:gd name="T9" fmla="*/ 2732 h 2732"/>
                                    </a:gdLst>
                                    <a:ahLst/>
                                    <a:cxnLst>
                                      <a:cxn ang="0">
                                        <a:pos x="T0" y="T1"/>
                                      </a:cxn>
                                      <a:cxn ang="0">
                                        <a:pos x="T2" y="T3"/>
                                      </a:cxn>
                                      <a:cxn ang="0">
                                        <a:pos x="T4" y="T5"/>
                                      </a:cxn>
                                      <a:cxn ang="0">
                                        <a:pos x="T6" y="T7"/>
                                      </a:cxn>
                                      <a:cxn ang="0">
                                        <a:pos x="T8" y="T9"/>
                                      </a:cxn>
                                    </a:cxnLst>
                                    <a:rect l="0" t="0" r="r" b="b"/>
                                    <a:pathLst>
                                      <a:path w="2727" h="2732">
                                        <a:moveTo>
                                          <a:pt x="0" y="2732"/>
                                        </a:moveTo>
                                        <a:lnTo>
                                          <a:pt x="0" y="2728"/>
                                        </a:lnTo>
                                        <a:lnTo>
                                          <a:pt x="2722" y="0"/>
                                        </a:lnTo>
                                        <a:lnTo>
                                          <a:pt x="2727" y="5"/>
                                        </a:lnTo>
                                        <a:lnTo>
                                          <a:pt x="0" y="2732"/>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grpSp>
                          </wpg:grpSp>
                          <wps:wsp>
                            <wps:cNvPr id="61" name="Text Box 61"/>
                            <wps:cNvSpPr txBox="1"/>
                            <wps:spPr>
                              <a:xfrm>
                                <a:off x="9518" y="4838700"/>
                                <a:ext cx="6843395" cy="378975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FFFFFF" w:themeColor="background1"/>
                                      <w:sz w:val="64"/>
                                      <w:szCs w:val="64"/>
                                    </w:rPr>
                                    <w:alias w:val="Title"/>
                                    <w:tag w:val=""/>
                                    <w:id w:val="1841046763"/>
                                    <w:dataBinding w:prefixMappings="xmlns:ns0='http://purl.org/dc/elements/1.1/' xmlns:ns1='http://schemas.openxmlformats.org/package/2006/metadata/core-properties' " w:xpath="/ns1:coreProperties[1]/ns0:title[1]" w:storeItemID="{6C3C8BC8-F283-45AE-878A-BAB7291924A1}"/>
                                    <w:text/>
                                  </w:sdtPr>
                                  <w:sdtContent>
                                    <w:p w14:paraId="4E2F1589" w14:textId="6B4FB4BE" w:rsidR="00BD41B9" w:rsidRDefault="00BD41B9">
                                      <w:pPr>
                                        <w:pStyle w:val="a3"/>
                                        <w:rPr>
                                          <w:rFonts w:asciiTheme="majorHAnsi" w:eastAsiaTheme="majorEastAsia" w:hAnsiTheme="majorHAnsi" w:cstheme="majorBidi"/>
                                          <w:caps/>
                                          <w:color w:val="FFFFFF" w:themeColor="background1"/>
                                          <w:sz w:val="64"/>
                                          <w:szCs w:val="64"/>
                                        </w:rPr>
                                      </w:pPr>
                                      <w:r>
                                        <w:rPr>
                                          <w:rFonts w:asciiTheme="majorHAnsi" w:eastAsiaTheme="majorEastAsia" w:hAnsiTheme="majorHAnsi" w:cstheme="majorBidi"/>
                                          <w:caps/>
                                          <w:color w:val="FFFFFF" w:themeColor="background1"/>
                                          <w:sz w:val="64"/>
                                          <w:szCs w:val="64"/>
                                        </w:rPr>
                                        <w:t>ROKAS</w:t>
                                      </w:r>
                                    </w:p>
                                  </w:sdtContent>
                                </w:sdt>
                                <w:sdt>
                                  <w:sdtPr>
                                    <w:rPr>
                                      <w:color w:val="FFFFFF" w:themeColor="background1"/>
                                      <w:sz w:val="36"/>
                                      <w:szCs w:val="36"/>
                                    </w:rPr>
                                    <w:alias w:val="Subtitle"/>
                                    <w:tag w:val=""/>
                                    <w:id w:val="-1686441493"/>
                                    <w:dataBinding w:prefixMappings="xmlns:ns0='http://purl.org/dc/elements/1.1/' xmlns:ns1='http://schemas.openxmlformats.org/package/2006/metadata/core-properties' " w:xpath="/ns1:coreProperties[1]/ns0:subject[1]" w:storeItemID="{6C3C8BC8-F283-45AE-878A-BAB7291924A1}"/>
                                    <w:text/>
                                  </w:sdtPr>
                                  <w:sdtContent>
                                    <w:p w14:paraId="7F5A08C0" w14:textId="2787CFC0" w:rsidR="00BD41B9" w:rsidRPr="006C37ED" w:rsidRDefault="0016312C">
                                      <w:pPr>
                                        <w:pStyle w:val="a3"/>
                                        <w:spacing w:before="120"/>
                                        <w:rPr>
                                          <w:color w:val="FFFFFF" w:themeColor="background1"/>
                                          <w:sz w:val="36"/>
                                          <w:szCs w:val="36"/>
                                        </w:rPr>
                                      </w:pPr>
                                      <w:r>
                                        <w:rPr>
                                          <w:color w:val="FFFFFF" w:themeColor="background1"/>
                                          <w:sz w:val="36"/>
                                          <w:szCs w:val="36"/>
                                        </w:rPr>
                                        <w:t>Articles for Lexology</w:t>
                                      </w:r>
                                    </w:p>
                                  </w:sdtContent>
                                </w:sdt>
                              </w:txbxContent>
                            </wps:txbx>
                            <wps:bodyPr rot="0" spcFirstLastPara="0" vertOverflow="overflow" horzOverflow="overflow" vert="horz" wrap="square" lIns="685800" tIns="0" rIns="914400" bIns="0" numCol="1" spcCol="0" rtlCol="0" fromWordArt="0" anchor="b"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w14:anchorId="29FED947" id="Group 14" o:spid="_x0000_s1026" style="position:absolute;margin-left:0;margin-top:0;width:540pt;height:10in;z-index:-251657216;mso-width-percent:882;mso-height-percent:909;mso-position-horizontal:center;mso-position-horizontal-relative:page;mso-position-vertical:center;mso-position-vertical-relative:page;mso-width-percent:882;mso-height-percent:909" coordsize="68580,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">
                    <v:group id="Group 49" o:spid="_x0000_s1027" style="position:absolute;width:68580;height:91440" coordsize="68580,9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rect id="Rectangle 54" o:spid="_x0000_s1028" style="position:absolute;width:68580;height:91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" fillcolor="#485870 [3122]" stroked="f" strokeweight="1pt">
                        <v:fill color2="#3d4b5f [2882]" angle="348" colors="0 #88acbb;6554f #88acbb" focus="100%" type="gradient"/>
                        <v:textbox inset="54pt,54pt,1in,5in">
                          <w:txbxContent>
                            <w:p w14:paraId="2D1A5A57" w14:textId="77777777" w:rsidR="00BD41B9" w:rsidRDefault="00BD41B9">
                              <w:pPr>
                                <w:pStyle w:val="a3"/>
                                <w:rPr>
                                  <w:color w:val="FFFFFF" w:themeColor="background1"/>
                                  <w:sz w:val="48"/>
                                  <w:szCs w:val="48"/>
                                </w:rPr>
                              </w:pPr>
                            </w:p>
                          </w:txbxContent>
                        </v:textbox>
                      </v:rect>
                      <v:group id="Group 2" o:spid="_x0000_s1029" style="position:absolute;left:25241;width:43291;height:44910" coordsize="43291,44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Freeform 56" o:spid="_x0000_s1030" style="position:absolute;left:15017;width:28274;height:28352;visibility:visible;mso-wrap-style:square;v-text-anchor:top" coordsize="1781,1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" path="m4,1786l,1782,1776,r5,5l4,1786xe" filled="f" stroked="f">
                          <v:path arrowok="t" o:connecttype="custom" o:connectlocs="6350,2835275;0,2828925;2819400,0;2827338,7938;6350,2835275" o:connectangles="0,0,0,0,0"/>
                        </v:shape>
                        <v:shape id="Freeform 57" o:spid="_x0000_s1031" style="position:absolute;left:7826;top:2270;width:35465;height:35464;visibility:visible;mso-wrap-style:square;v-text-anchor:top" coordsize="2234,2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" path="m5,2234l,2229,2229,r5,5l5,2234xe" filled="f" stroked="f">
                          <v:path arrowok="t" o:connecttype="custom" o:connectlocs="7938,3546475;0,3538538;3538538,0;3546475,7938;7938,3546475" o:connectangles="0,0,0,0,0"/>
                        </v:shape>
                        <v:shape id="Freeform 58" o:spid="_x0000_s1032" style="position:absolute;left:8413;top:1095;width:34878;height:34877;visibility:visible;mso-wrap-style:square;v-text-anchor:top" coordsize="2197,2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" path="m9,2197l,2193,2188,r9,10l9,2197xe" filled="f" stroked="f">
                          <v:path arrowok="t" o:connecttype="custom" o:connectlocs="14288,3487738;0,3481388;3473450,0;3487738,15875;14288,3487738" o:connectangles="0,0,0,0,0"/>
                        </v:shape>
                        <v:shape id="Freeform 59" o:spid="_x0000_s1033" style="position:absolute;left:12160;top:4984;width:31131;height:31211;visibility:visible;mso-wrap-style:square;v-text-anchor:top" coordsize="1961,1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" path="m9,1966l,1957,1952,r9,9l9,1966xe" filled="f" stroked="f">
                          <v:path arrowok="t" o:connecttype="custom" o:connectlocs="14288,3121025;0,3106738;3098800,0;3113088,14288;14288,3121025" o:connectangles="0,0,0,0,0"/>
                        </v:shape>
                        <v:shape id="Freeform 60" o:spid="_x0000_s1034" style="position:absolute;top:1539;width:43291;height:43371;visibility:visible;mso-wrap-style:square;v-text-anchor:top" coordsize="2727,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" path="m,2732r,-4l2722,r5,5l,2732xe" filled="f" stroked="f">
                          <v:path arrowok="t" o:connecttype="custom" o:connectlocs="0,4337050;0,4330700;4321175,0;4329113,7938;0,4337050" o:connectangles="0,0,0,0,0"/>
                        </v:shape>
                      </v:group>
                    </v:group>
                    <v:shapetype id="_x0000_t202" coordsize="21600,21600" o:spt="202" path="m,l,21600r21600,l21600,xe">
                      <v:stroke joinstyle="miter"/>
                      <v:path gradientshapeok="t" o:connecttype="rect"/>
                    </v:shapetype>
                    <v:shape id="Text Box 61" o:spid="_x0000_s1035" type="#_x0000_t202" style="position:absolute;left:95;top:48387;width:68434;height:37897;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" filled="f" stroked="f" strokeweight=".5pt">
                      <v:textbox inset="54pt,0,1in,0">
                        <w:txbxContent>
                          <w:sdt>
                            <w:sdtPr>
                              <w:rPr>
                                <w:rFonts w:asciiTheme="majorHAnsi" w:eastAsiaTheme="majorEastAsia" w:hAnsiTheme="majorHAnsi" w:cstheme="majorBidi"/>
                                <w:caps/>
                                <w:color w:val="FFFFFF" w:themeColor="background1"/>
                                <w:sz w:val="64"/>
                                <w:szCs w:val="64"/>
                              </w:rPr>
                              <w:alias w:val="Title"/>
                              <w:tag w:val=""/>
                              <w:id w:val="1841046763"/>
                              <w:dataBinding w:prefixMappings="xmlns:ns0='http://purl.org/dc/elements/1.1/' xmlns:ns1='http://schemas.openxmlformats.org/package/2006/metadata/core-properties' " w:xpath="/ns1:coreProperties[1]/ns0:title[1]" w:storeItemID="{6C3C8BC8-F283-45AE-878A-BAB7291924A1}"/>
                              <w:text/>
                            </w:sdtPr>
                            <w:sdtContent>
                              <w:p w14:paraId="4E2F1589" w14:textId="6B4FB4BE" w:rsidR="00BD41B9" w:rsidRDefault="00BD41B9">
                                <w:pPr>
                                  <w:pStyle w:val="a3"/>
                                  <w:rPr>
                                    <w:rFonts w:asciiTheme="majorHAnsi" w:eastAsiaTheme="majorEastAsia" w:hAnsiTheme="majorHAnsi" w:cstheme="majorBidi"/>
                                    <w:caps/>
                                    <w:color w:val="FFFFFF" w:themeColor="background1"/>
                                    <w:sz w:val="64"/>
                                    <w:szCs w:val="64"/>
                                  </w:rPr>
                                </w:pPr>
                                <w:r>
                                  <w:rPr>
                                    <w:rFonts w:asciiTheme="majorHAnsi" w:eastAsiaTheme="majorEastAsia" w:hAnsiTheme="majorHAnsi" w:cstheme="majorBidi"/>
                                    <w:caps/>
                                    <w:color w:val="FFFFFF" w:themeColor="background1"/>
                                    <w:sz w:val="64"/>
                                    <w:szCs w:val="64"/>
                                  </w:rPr>
                                  <w:t>ROKAS</w:t>
                                </w:r>
                              </w:p>
                            </w:sdtContent>
                          </w:sdt>
                          <w:sdt>
                            <w:sdtPr>
                              <w:rPr>
                                <w:color w:val="FFFFFF" w:themeColor="background1"/>
                                <w:sz w:val="36"/>
                                <w:szCs w:val="36"/>
                              </w:rPr>
                              <w:alias w:val="Subtitle"/>
                              <w:tag w:val=""/>
                              <w:id w:val="-1686441493"/>
                              <w:dataBinding w:prefixMappings="xmlns:ns0='http://purl.org/dc/elements/1.1/' xmlns:ns1='http://schemas.openxmlformats.org/package/2006/metadata/core-properties' " w:xpath="/ns1:coreProperties[1]/ns0:subject[1]" w:storeItemID="{6C3C8BC8-F283-45AE-878A-BAB7291924A1}"/>
                              <w:text/>
                            </w:sdtPr>
                            <w:sdtContent>
                              <w:p w14:paraId="7F5A08C0" w14:textId="2787CFC0" w:rsidR="00BD41B9" w:rsidRPr="006C37ED" w:rsidRDefault="0016312C">
                                <w:pPr>
                                  <w:pStyle w:val="a3"/>
                                  <w:spacing w:before="120"/>
                                  <w:rPr>
                                    <w:color w:val="FFFFFF" w:themeColor="background1"/>
                                    <w:sz w:val="36"/>
                                    <w:szCs w:val="36"/>
                                  </w:rPr>
                                </w:pPr>
                                <w:r>
                                  <w:rPr>
                                    <w:color w:val="FFFFFF" w:themeColor="background1"/>
                                    <w:sz w:val="36"/>
                                    <w:szCs w:val="36"/>
                                  </w:rPr>
                                  <w:t xml:space="preserve">Articles for </w:t>
                                </w:r>
                                <w:proofErr w:type="spellStart"/>
                                <w:r>
                                  <w:rPr>
                                    <w:color w:val="FFFFFF" w:themeColor="background1"/>
                                    <w:sz w:val="36"/>
                                    <w:szCs w:val="36"/>
                                  </w:rPr>
                                  <w:t>Lexology</w:t>
                                </w:r>
                                <w:proofErr w:type="spellEnd"/>
                              </w:p>
                            </w:sdtContent>
                          </w:sdt>
                        </w:txbxContent>
                      </v:textbox>
                    </v:shape>
                    <w10:wrap anchorx="page" anchory="page"/>
                  </v:group>
                </w:pict>
              </mc:Fallback>
            </mc:AlternateContent>
          </w:r>
        </w:p>
        <w:p w14:paraId="5452FFCD" w14:textId="70645DC1" w:rsidR="00BD41B9" w:rsidRDefault="00BD41B9">
          <w:pPr>
            <w:rPr>
              <w:lang w:val="en-US"/>
            </w:rPr>
          </w:pPr>
          <w:r>
            <w:rPr>
              <w:lang w:val="en-US"/>
            </w:rPr>
            <w:br w:type="page"/>
          </w:r>
        </w:p>
      </w:sdtContent>
    </w:sdt>
    <w:p w14:paraId="79791DE1" w14:textId="2B1ED9CB" w:rsidR="00982DA4" w:rsidRPr="00982DA4" w:rsidRDefault="00982DA4" w:rsidP="00982DA4">
      <w:pPr>
        <w:pStyle w:val="a5"/>
        <w:rPr>
          <w:lang w:val="en-US"/>
        </w:rPr>
      </w:pPr>
      <w:r>
        <w:rPr>
          <w:lang w:val="en-US"/>
        </w:rPr>
        <w:lastRenderedPageBreak/>
        <w:tab/>
      </w:r>
    </w:p>
    <w:p w14:paraId="645B4411" w14:textId="3CB74C42" w:rsidR="0057253D" w:rsidRDefault="00B256B5" w:rsidP="00CC23DB">
      <w:pPr>
        <w:ind w:left="5040" w:firstLine="720"/>
        <w:rPr>
          <w:lang w:val="en-US"/>
        </w:rPr>
      </w:pPr>
      <w:r>
        <w:rPr>
          <w:rFonts w:asciiTheme="minorHAnsi" w:hAnsiTheme="minorHAnsi" w:cstheme="minorHAnsi"/>
          <w:lang w:val="en-US"/>
        </w:rPr>
        <w:t xml:space="preserve">             </w:t>
      </w:r>
      <w:r w:rsidR="00982DA4" w:rsidRPr="00BD41B9">
        <w:rPr>
          <w:rFonts w:asciiTheme="minorHAnsi" w:hAnsiTheme="minorHAnsi" w:cstheme="minorHAnsi"/>
          <w:lang w:val="en-US"/>
        </w:rPr>
        <w:t xml:space="preserve">Date: </w:t>
      </w:r>
      <w:r w:rsidR="00B9291B">
        <w:rPr>
          <w:rFonts w:asciiTheme="minorHAnsi" w:hAnsiTheme="minorHAnsi" w:cstheme="minorHAnsi"/>
        </w:rPr>
        <w:t>29</w:t>
      </w:r>
      <w:r w:rsidR="002C5529" w:rsidRPr="00F6312E">
        <w:rPr>
          <w:rFonts w:asciiTheme="minorHAnsi" w:hAnsiTheme="minorHAnsi" w:cstheme="minorHAnsi"/>
          <w:lang w:val="en-US"/>
        </w:rPr>
        <w:t>/</w:t>
      </w:r>
      <w:r w:rsidR="00B9291B">
        <w:rPr>
          <w:rFonts w:asciiTheme="minorHAnsi" w:hAnsiTheme="minorHAnsi" w:cstheme="minorHAnsi"/>
        </w:rPr>
        <w:t>10</w:t>
      </w:r>
      <w:r w:rsidR="002C5529" w:rsidRPr="00F6312E">
        <w:rPr>
          <w:rFonts w:asciiTheme="minorHAnsi" w:hAnsiTheme="minorHAnsi" w:cstheme="minorHAnsi"/>
          <w:lang w:val="en-US"/>
        </w:rPr>
        <w:t>/2025</w:t>
      </w:r>
      <w:r w:rsidR="00982DA4" w:rsidRPr="00982DA4">
        <w:rPr>
          <w:lang w:val="en-US"/>
        </w:rPr>
        <w:t xml:space="preserve">  </w:t>
      </w:r>
    </w:p>
    <w:p w14:paraId="1203988C" w14:textId="32A44E44" w:rsidR="00982DA4" w:rsidRPr="00982DA4" w:rsidRDefault="00982DA4" w:rsidP="00CC23DB">
      <w:pPr>
        <w:ind w:left="5040" w:firstLine="720"/>
        <w:rPr>
          <w:lang w:val="en-US"/>
        </w:rPr>
      </w:pPr>
      <w:r w:rsidRPr="00982DA4">
        <w:rPr>
          <w:lang w:val="en-US"/>
        </w:rPr>
        <w:t xml:space="preserve">                                                                                     </w:t>
      </w:r>
    </w:p>
    <w:p w14:paraId="42B39F3D" w14:textId="307CE3ED" w:rsidR="00982DA4" w:rsidRPr="00B9291B" w:rsidRDefault="00E72AEB" w:rsidP="00B9291B">
      <w:pPr>
        <w:spacing w:after="160" w:line="278" w:lineRule="auto"/>
        <w:jc w:val="both"/>
        <w:rPr>
          <w:rFonts w:ascii="Aptos" w:eastAsia="Aptos" w:hAnsi="Aptos"/>
          <w:b/>
          <w:bCs/>
          <w:lang w:val="bg-BG" w:eastAsia="en-US"/>
        </w:rPr>
      </w:pPr>
      <w:r>
        <w:rPr>
          <w:rFonts w:asciiTheme="minorHAnsi" w:hAnsiTheme="minorHAnsi" w:cstheme="minorHAnsi"/>
          <w:b/>
          <w:bCs/>
          <w:lang w:val="en-US"/>
        </w:rPr>
        <w:t xml:space="preserve">Topic : </w:t>
      </w:r>
      <w:r w:rsidR="0057253D" w:rsidRPr="00F376C2">
        <w:rPr>
          <w:rFonts w:asciiTheme="minorHAnsi" w:hAnsiTheme="minorHAnsi" w:cstheme="minorHAnsi"/>
          <w:b/>
          <w:bCs/>
          <w:lang w:val="en-US"/>
        </w:rPr>
        <w:t>“</w:t>
      </w:r>
      <w:r w:rsidR="00B9291B" w:rsidRPr="00B9291B">
        <w:rPr>
          <w:rFonts w:ascii="Aptos" w:eastAsia="Aptos" w:hAnsi="Aptos"/>
          <w:b/>
          <w:bCs/>
          <w:lang w:val="bg-BG" w:eastAsia="en-US"/>
        </w:rPr>
        <w:t>Legal Consequences of Euro Adoption in Bulgaria</w:t>
      </w:r>
      <w:r w:rsidR="0057253D" w:rsidRPr="00F376C2">
        <w:rPr>
          <w:rFonts w:asciiTheme="minorHAnsi" w:hAnsiTheme="minorHAnsi" w:cstheme="minorHAnsi"/>
          <w:b/>
          <w:bCs/>
          <w:lang w:val="en-US"/>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8"/>
        <w:gridCol w:w="4158"/>
      </w:tblGrid>
      <w:tr w:rsidR="00256E38" w:rsidRPr="00C252BC" w14:paraId="23A9C4D3" w14:textId="77777777" w:rsidTr="0024220E">
        <w:tc>
          <w:tcPr>
            <w:tcW w:w="4148" w:type="dxa"/>
          </w:tcPr>
          <w:p w14:paraId="166D7E7F" w14:textId="5FB72334" w:rsidR="00F21283" w:rsidRDefault="00F21283" w:rsidP="00F21283">
            <w:pPr>
              <w:rPr>
                <w:lang w:val="en-US"/>
              </w:rPr>
            </w:pPr>
          </w:p>
        </w:tc>
        <w:tc>
          <w:tcPr>
            <w:tcW w:w="4158" w:type="dxa"/>
            <w:vMerge w:val="restart"/>
          </w:tcPr>
          <w:p w14:paraId="6F7D54EB" w14:textId="77777777" w:rsidR="001B246B" w:rsidRDefault="001B246B" w:rsidP="001B246B">
            <w:pPr>
              <w:jc w:val="center"/>
              <w:rPr>
                <w:rFonts w:asciiTheme="minorHAnsi" w:hAnsiTheme="minorHAnsi" w:cstheme="minorHAnsi"/>
                <w:lang w:val="en-US"/>
              </w:rPr>
            </w:pPr>
          </w:p>
          <w:p w14:paraId="2A5716E2" w14:textId="77777777" w:rsidR="00F32A1C" w:rsidRDefault="00F32A1C" w:rsidP="001B246B">
            <w:pPr>
              <w:jc w:val="center"/>
              <w:rPr>
                <w:rFonts w:asciiTheme="minorHAnsi" w:hAnsiTheme="minorHAnsi" w:cstheme="minorHAnsi"/>
                <w:lang w:val="en-US"/>
              </w:rPr>
            </w:pPr>
          </w:p>
          <w:p w14:paraId="5A14DCB6" w14:textId="77777777" w:rsidR="00F32A1C" w:rsidRDefault="00F32A1C" w:rsidP="001B246B">
            <w:pPr>
              <w:jc w:val="center"/>
              <w:rPr>
                <w:rFonts w:asciiTheme="minorHAnsi" w:hAnsiTheme="minorHAnsi" w:cstheme="minorHAnsi"/>
                <w:lang w:val="en-US"/>
              </w:rPr>
            </w:pPr>
          </w:p>
          <w:p w14:paraId="45E1C1E1" w14:textId="710C6734" w:rsidR="00F376C2" w:rsidRDefault="00F376C2" w:rsidP="001B246B">
            <w:pPr>
              <w:jc w:val="center"/>
              <w:rPr>
                <w:lang w:val="en-US"/>
              </w:rPr>
            </w:pPr>
          </w:p>
          <w:p w14:paraId="12D23601" w14:textId="7443A622" w:rsidR="00B954CB" w:rsidRDefault="008D45C9" w:rsidP="001B246B">
            <w:pPr>
              <w:jc w:val="center"/>
              <w:rPr>
                <w:lang w:val="en-US"/>
              </w:rPr>
            </w:pPr>
            <w:r>
              <w:rPr>
                <w:noProof/>
              </w:rPr>
              <w:drawing>
                <wp:inline distT="0" distB="0" distL="0" distR="0" wp14:anchorId="51562195" wp14:editId="0D0C5BDF">
                  <wp:extent cx="1672137" cy="2066925"/>
                  <wp:effectExtent l="0" t="0" r="4445" b="0"/>
                  <wp:docPr id="100936277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88201" cy="2086781"/>
                          </a:xfrm>
                          <a:prstGeom prst="rect">
                            <a:avLst/>
                          </a:prstGeom>
                          <a:noFill/>
                          <a:ln>
                            <a:noFill/>
                          </a:ln>
                        </pic:spPr>
                      </pic:pic>
                    </a:graphicData>
                  </a:graphic>
                </wp:inline>
              </w:drawing>
            </w:r>
          </w:p>
          <w:p w14:paraId="42EF6200" w14:textId="032FE778" w:rsidR="00C252BC" w:rsidRDefault="00C252BC" w:rsidP="001B246B">
            <w:pPr>
              <w:jc w:val="center"/>
            </w:pPr>
          </w:p>
          <w:p w14:paraId="3F4D45EA" w14:textId="77777777" w:rsidR="002C5529" w:rsidRDefault="002C5529" w:rsidP="001B246B">
            <w:pPr>
              <w:jc w:val="center"/>
            </w:pPr>
          </w:p>
          <w:p w14:paraId="52BF8793" w14:textId="77777777" w:rsidR="002C5529" w:rsidRDefault="002C5529" w:rsidP="001B246B">
            <w:pPr>
              <w:jc w:val="center"/>
            </w:pPr>
          </w:p>
          <w:p w14:paraId="4EE434AD" w14:textId="77777777" w:rsidR="002C5529" w:rsidRDefault="008E16D9" w:rsidP="001B246B">
            <w:pPr>
              <w:jc w:val="center"/>
              <w:rPr>
                <w:lang w:val="en-US"/>
              </w:rPr>
            </w:pPr>
            <w:r>
              <w:rPr>
                <w:noProof/>
              </w:rPr>
              <w:drawing>
                <wp:inline distT="0" distB="0" distL="0" distR="0" wp14:anchorId="6230B352" wp14:editId="4EA550DD">
                  <wp:extent cx="1709037" cy="1863969"/>
                  <wp:effectExtent l="0" t="0" r="5715" b="3175"/>
                  <wp:docPr id="5432044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204493" name=""/>
                          <pic:cNvPicPr/>
                        </pic:nvPicPr>
                        <pic:blipFill rotWithShape="1">
                          <a:blip r:embed="rId13"/>
                          <a:srcRect b="10153"/>
                          <a:stretch/>
                        </pic:blipFill>
                        <pic:spPr bwMode="auto">
                          <a:xfrm>
                            <a:off x="0" y="0"/>
                            <a:ext cx="1709928" cy="1864941"/>
                          </a:xfrm>
                          <a:prstGeom prst="rect">
                            <a:avLst/>
                          </a:prstGeom>
                          <a:ln>
                            <a:noFill/>
                          </a:ln>
                          <a:extLst>
                            <a:ext uri="{53640926-AAD7-44D8-BBD7-CCE9431645EC}">
                              <a14:shadowObscured xmlns:a14="http://schemas.microsoft.com/office/drawing/2010/main"/>
                            </a:ext>
                          </a:extLst>
                        </pic:spPr>
                      </pic:pic>
                    </a:graphicData>
                  </a:graphic>
                </wp:inline>
              </w:drawing>
            </w:r>
          </w:p>
          <w:p w14:paraId="019A9DF1" w14:textId="38319BBF" w:rsidR="008D45C9" w:rsidRPr="008D45C9" w:rsidRDefault="008D45C9" w:rsidP="001B246B">
            <w:pPr>
              <w:jc w:val="center"/>
              <w:rPr>
                <w:lang w:val="en-US"/>
              </w:rPr>
            </w:pPr>
          </w:p>
        </w:tc>
      </w:tr>
      <w:tr w:rsidR="00256E38" w:rsidRPr="00F6312E" w14:paraId="1EF58878" w14:textId="77777777" w:rsidTr="0024220E">
        <w:trPr>
          <w:trHeight w:val="6080"/>
        </w:trPr>
        <w:tc>
          <w:tcPr>
            <w:tcW w:w="4148" w:type="dxa"/>
          </w:tcPr>
          <w:p w14:paraId="67280E8A" w14:textId="77777777" w:rsidR="00F21283" w:rsidRDefault="00F21283" w:rsidP="00F21283">
            <w:pPr>
              <w:rPr>
                <w:rFonts w:asciiTheme="minorHAnsi" w:hAnsiTheme="minorHAnsi" w:cstheme="minorHAnsi"/>
                <w:lang w:val="en-US"/>
              </w:rPr>
            </w:pPr>
          </w:p>
          <w:p w14:paraId="08D01B6D" w14:textId="77777777" w:rsidR="00F32A1C" w:rsidRDefault="00F32A1C" w:rsidP="00F32A1C">
            <w:pPr>
              <w:rPr>
                <w:rFonts w:asciiTheme="minorHAnsi" w:hAnsiTheme="minorHAnsi" w:cstheme="minorHAnsi"/>
                <w:b/>
                <w:bCs/>
                <w:lang w:val="en-US"/>
              </w:rPr>
            </w:pPr>
            <w:r w:rsidRPr="00F32A1C">
              <w:rPr>
                <w:rFonts w:asciiTheme="minorHAnsi" w:hAnsiTheme="minorHAnsi" w:cstheme="minorHAnsi"/>
                <w:b/>
                <w:bCs/>
                <w:lang w:val="en-US"/>
              </w:rPr>
              <w:t xml:space="preserve">Author / Title: </w:t>
            </w:r>
          </w:p>
          <w:p w14:paraId="15DA1953" w14:textId="77777777" w:rsidR="00F32A1C" w:rsidRPr="00F32A1C" w:rsidRDefault="00F32A1C" w:rsidP="00F32A1C">
            <w:pPr>
              <w:rPr>
                <w:rFonts w:asciiTheme="minorHAnsi" w:hAnsiTheme="minorHAnsi" w:cstheme="minorHAnsi"/>
                <w:b/>
                <w:bCs/>
                <w:lang w:val="en-US"/>
              </w:rPr>
            </w:pPr>
          </w:p>
          <w:p w14:paraId="1AFDC827" w14:textId="77777777" w:rsidR="00B954CB" w:rsidRDefault="00B954CB" w:rsidP="00F21283">
            <w:pPr>
              <w:rPr>
                <w:rFonts w:asciiTheme="minorHAnsi" w:hAnsiTheme="minorHAnsi" w:cstheme="minorHAnsi"/>
                <w:b/>
                <w:bCs/>
                <w:lang w:val="en-US"/>
              </w:rPr>
            </w:pPr>
          </w:p>
          <w:p w14:paraId="5128AD74" w14:textId="77777777" w:rsidR="00F32A1C" w:rsidRDefault="00F32A1C" w:rsidP="00F32A1C">
            <w:pPr>
              <w:rPr>
                <w:rFonts w:asciiTheme="minorHAnsi" w:hAnsiTheme="minorHAnsi" w:cstheme="minorHAnsi"/>
                <w:b/>
                <w:bCs/>
                <w:lang w:val="en-US"/>
              </w:rPr>
            </w:pPr>
          </w:p>
          <w:p w14:paraId="6F4389DA" w14:textId="77777777" w:rsidR="008D45C9" w:rsidRDefault="008D45C9" w:rsidP="00F32A1C">
            <w:pPr>
              <w:rPr>
                <w:rFonts w:asciiTheme="minorHAnsi" w:hAnsiTheme="minorHAnsi" w:cstheme="minorHAnsi"/>
                <w:b/>
                <w:bCs/>
                <w:lang w:val="en-US"/>
              </w:rPr>
            </w:pPr>
          </w:p>
          <w:p w14:paraId="466D6949" w14:textId="77777777" w:rsidR="00F32A1C" w:rsidRDefault="00F32A1C" w:rsidP="00F32A1C">
            <w:pPr>
              <w:rPr>
                <w:rFonts w:asciiTheme="minorHAnsi" w:hAnsiTheme="minorHAnsi" w:cstheme="minorHAnsi"/>
                <w:b/>
                <w:bCs/>
                <w:lang w:val="en-US"/>
              </w:rPr>
            </w:pPr>
          </w:p>
          <w:p w14:paraId="7CDAB86F" w14:textId="19E04895" w:rsidR="008E16D9" w:rsidRDefault="008D45C9" w:rsidP="00F32A1C">
            <w:pPr>
              <w:rPr>
                <w:rFonts w:asciiTheme="minorHAnsi" w:hAnsiTheme="minorHAnsi" w:cstheme="minorHAnsi"/>
                <w:b/>
                <w:bCs/>
                <w:lang w:val="pt-BR"/>
              </w:rPr>
            </w:pPr>
            <w:r>
              <w:rPr>
                <w:rFonts w:asciiTheme="minorHAnsi" w:hAnsiTheme="minorHAnsi" w:cstheme="minorHAnsi"/>
                <w:b/>
                <w:bCs/>
                <w:lang w:val="en-US"/>
              </w:rPr>
              <w:t xml:space="preserve">Dimitrios Chatzimichael </w:t>
            </w:r>
            <w:r w:rsidR="008E16D9" w:rsidRPr="008E16D9">
              <w:rPr>
                <w:rFonts w:asciiTheme="minorHAnsi" w:hAnsiTheme="minorHAnsi" w:cstheme="minorHAnsi"/>
                <w:b/>
                <w:bCs/>
                <w:lang w:val="pt-BR"/>
              </w:rPr>
              <w:t xml:space="preserve"> </w:t>
            </w:r>
          </w:p>
          <w:p w14:paraId="66F91995" w14:textId="55E95994" w:rsidR="00F32A1C" w:rsidRPr="00F32A1C" w:rsidRDefault="008D45C9" w:rsidP="00F32A1C">
            <w:pPr>
              <w:rPr>
                <w:rFonts w:asciiTheme="minorHAnsi" w:hAnsiTheme="minorHAnsi" w:cstheme="minorHAnsi"/>
                <w:lang w:val="en-US"/>
              </w:rPr>
            </w:pPr>
            <w:r>
              <w:rPr>
                <w:rFonts w:asciiTheme="minorHAnsi" w:hAnsiTheme="minorHAnsi" w:cstheme="minorHAnsi"/>
                <w:lang w:val="en-US"/>
              </w:rPr>
              <w:t xml:space="preserve">Partner </w:t>
            </w:r>
          </w:p>
          <w:p w14:paraId="78D5DB2D" w14:textId="77777777" w:rsidR="00F32A1C" w:rsidRDefault="00F32A1C" w:rsidP="00F21283">
            <w:pPr>
              <w:rPr>
                <w:rFonts w:asciiTheme="minorHAnsi" w:hAnsiTheme="minorHAnsi" w:cstheme="minorHAnsi"/>
                <w:b/>
                <w:bCs/>
                <w:lang w:val="en-US"/>
              </w:rPr>
            </w:pPr>
          </w:p>
          <w:p w14:paraId="070E6C7E" w14:textId="77777777" w:rsidR="00F32A1C" w:rsidRDefault="00F32A1C" w:rsidP="00F21283">
            <w:pPr>
              <w:rPr>
                <w:rFonts w:asciiTheme="minorHAnsi" w:hAnsiTheme="minorHAnsi" w:cstheme="minorHAnsi"/>
                <w:b/>
                <w:bCs/>
                <w:lang w:val="en-US"/>
              </w:rPr>
            </w:pPr>
          </w:p>
          <w:p w14:paraId="676F106E" w14:textId="77777777" w:rsidR="00F32A1C" w:rsidRDefault="00F32A1C" w:rsidP="00F21283">
            <w:pPr>
              <w:rPr>
                <w:rFonts w:asciiTheme="minorHAnsi" w:hAnsiTheme="minorHAnsi" w:cstheme="minorHAnsi"/>
                <w:b/>
                <w:bCs/>
                <w:lang w:val="en-US"/>
              </w:rPr>
            </w:pPr>
          </w:p>
          <w:p w14:paraId="55B0B41D" w14:textId="77777777" w:rsidR="00653A6B" w:rsidRPr="008419EC" w:rsidRDefault="00653A6B" w:rsidP="00F21283">
            <w:pPr>
              <w:rPr>
                <w:rFonts w:asciiTheme="minorHAnsi" w:hAnsiTheme="minorHAnsi" w:cstheme="minorHAnsi"/>
                <w:lang w:val="en-US"/>
              </w:rPr>
            </w:pPr>
          </w:p>
          <w:p w14:paraId="07E6015A" w14:textId="77777777" w:rsidR="00653A6B" w:rsidRPr="008419EC" w:rsidRDefault="00653A6B" w:rsidP="00F21283">
            <w:pPr>
              <w:rPr>
                <w:rFonts w:asciiTheme="minorHAnsi" w:hAnsiTheme="minorHAnsi" w:cstheme="minorHAnsi"/>
                <w:lang w:val="en-US"/>
              </w:rPr>
            </w:pPr>
          </w:p>
          <w:p w14:paraId="1655B651" w14:textId="77777777" w:rsidR="00653A6B" w:rsidRPr="008419EC" w:rsidRDefault="00653A6B" w:rsidP="00F21283">
            <w:pPr>
              <w:rPr>
                <w:rFonts w:asciiTheme="minorHAnsi" w:hAnsiTheme="minorHAnsi" w:cstheme="minorHAnsi"/>
                <w:lang w:val="en-US"/>
              </w:rPr>
            </w:pPr>
          </w:p>
          <w:p w14:paraId="3F74BEA4" w14:textId="77777777" w:rsidR="00653A6B" w:rsidRPr="008419EC" w:rsidRDefault="00653A6B" w:rsidP="00F21283">
            <w:pPr>
              <w:rPr>
                <w:rFonts w:asciiTheme="minorHAnsi" w:hAnsiTheme="minorHAnsi" w:cstheme="minorHAnsi"/>
                <w:lang w:val="en-US"/>
              </w:rPr>
            </w:pPr>
          </w:p>
          <w:p w14:paraId="48713CF6" w14:textId="77777777" w:rsidR="00653A6B" w:rsidRPr="008419EC" w:rsidRDefault="00653A6B" w:rsidP="00F21283">
            <w:pPr>
              <w:rPr>
                <w:rFonts w:asciiTheme="minorHAnsi" w:hAnsiTheme="minorHAnsi" w:cstheme="minorHAnsi"/>
                <w:lang w:val="en-US"/>
              </w:rPr>
            </w:pPr>
          </w:p>
          <w:p w14:paraId="5E9D9EC9" w14:textId="77777777" w:rsidR="00B954CB" w:rsidRDefault="00B954CB" w:rsidP="00F21283">
            <w:pPr>
              <w:rPr>
                <w:rFonts w:asciiTheme="minorHAnsi" w:hAnsiTheme="minorHAnsi" w:cstheme="minorHAnsi"/>
                <w:b/>
                <w:bCs/>
              </w:rPr>
            </w:pPr>
          </w:p>
          <w:p w14:paraId="11965B53" w14:textId="77777777" w:rsidR="00B9291B" w:rsidRPr="00B9291B" w:rsidRDefault="00B9291B" w:rsidP="00F21283">
            <w:pPr>
              <w:rPr>
                <w:rFonts w:asciiTheme="minorHAnsi" w:hAnsiTheme="minorHAnsi" w:cstheme="minorHAnsi"/>
                <w:b/>
                <w:bCs/>
              </w:rPr>
            </w:pPr>
          </w:p>
          <w:p w14:paraId="0C8ED4B3" w14:textId="267812C8" w:rsidR="00B256B5" w:rsidRPr="00B256B5" w:rsidRDefault="00B256B5" w:rsidP="00B256B5">
            <w:pPr>
              <w:rPr>
                <w:rFonts w:asciiTheme="minorHAnsi" w:hAnsiTheme="minorHAnsi" w:cstheme="minorHAnsi"/>
                <w:b/>
                <w:bCs/>
                <w:lang w:val="en-US"/>
              </w:rPr>
            </w:pPr>
            <w:r w:rsidRPr="00B256B5">
              <w:rPr>
                <w:rFonts w:asciiTheme="minorHAnsi" w:hAnsiTheme="minorHAnsi" w:cstheme="minorHAnsi"/>
                <w:b/>
                <w:bCs/>
                <w:lang w:val="en-US"/>
              </w:rPr>
              <w:t xml:space="preserve">Desislava Dimitrova </w:t>
            </w:r>
          </w:p>
          <w:p w14:paraId="01D8928F" w14:textId="033912FC" w:rsidR="00F21283" w:rsidRDefault="00F32A1C" w:rsidP="00F21283">
            <w:pPr>
              <w:rPr>
                <w:lang w:val="en-US"/>
              </w:rPr>
            </w:pPr>
            <w:r w:rsidRPr="00F32A1C">
              <w:rPr>
                <w:rFonts w:asciiTheme="minorHAnsi" w:hAnsiTheme="minorHAnsi" w:cstheme="minorHAnsi"/>
                <w:lang w:val="en-US"/>
              </w:rPr>
              <w:t>Senior Associate</w:t>
            </w:r>
          </w:p>
          <w:p w14:paraId="42F094D1" w14:textId="1B44A697" w:rsidR="000C3F70" w:rsidRPr="001B0729" w:rsidRDefault="000C3F70" w:rsidP="00F21283">
            <w:pPr>
              <w:rPr>
                <w:lang w:val="en-GB"/>
              </w:rPr>
            </w:pPr>
          </w:p>
        </w:tc>
        <w:tc>
          <w:tcPr>
            <w:tcW w:w="4158" w:type="dxa"/>
            <w:vMerge/>
          </w:tcPr>
          <w:p w14:paraId="2289E3D1" w14:textId="77777777" w:rsidR="00F21283" w:rsidRDefault="00F21283" w:rsidP="00F21283">
            <w:pPr>
              <w:rPr>
                <w:lang w:val="en-US"/>
              </w:rPr>
            </w:pPr>
          </w:p>
        </w:tc>
      </w:tr>
      <w:tr w:rsidR="000C4EC9" w:rsidRPr="007773C4" w14:paraId="562AEACE" w14:textId="77777777" w:rsidTr="008419EC">
        <w:tc>
          <w:tcPr>
            <w:tcW w:w="8306" w:type="dxa"/>
            <w:gridSpan w:val="2"/>
          </w:tcPr>
          <w:p w14:paraId="7BB19EED" w14:textId="77777777" w:rsidR="0001751E" w:rsidRDefault="0001751E" w:rsidP="0001751E">
            <w:pPr>
              <w:spacing w:after="160" w:line="278" w:lineRule="auto"/>
              <w:jc w:val="both"/>
              <w:rPr>
                <w:rFonts w:ascii="Aptos" w:eastAsia="Aptos" w:hAnsi="Aptos"/>
                <w:b/>
                <w:bCs/>
                <w:lang w:val="en-US" w:eastAsia="en-US"/>
              </w:rPr>
            </w:pPr>
          </w:p>
          <w:p w14:paraId="229004AE" w14:textId="590DA64C" w:rsidR="00B9291B" w:rsidRPr="00B9291B" w:rsidRDefault="00B9291B" w:rsidP="0001751E">
            <w:pPr>
              <w:spacing w:after="160" w:line="278" w:lineRule="auto"/>
              <w:jc w:val="both"/>
              <w:rPr>
                <w:rFonts w:ascii="Aptos" w:eastAsia="Aptos" w:hAnsi="Aptos"/>
                <w:b/>
                <w:bCs/>
                <w:lang w:val="bg-BG" w:eastAsia="en-US"/>
              </w:rPr>
            </w:pPr>
            <w:r w:rsidRPr="00B9291B">
              <w:rPr>
                <w:rFonts w:ascii="Aptos" w:eastAsia="Aptos" w:hAnsi="Aptos"/>
                <w:b/>
                <w:bCs/>
                <w:lang w:val="bg-BG" w:eastAsia="en-US"/>
              </w:rPr>
              <w:t>Introduction</w:t>
            </w:r>
          </w:p>
          <w:p w14:paraId="0A103F43" w14:textId="77777777" w:rsidR="00B9291B" w:rsidRPr="00B9291B" w:rsidRDefault="00B9291B" w:rsidP="00B9291B">
            <w:pPr>
              <w:spacing w:after="160" w:line="278" w:lineRule="auto"/>
              <w:jc w:val="both"/>
              <w:rPr>
                <w:rFonts w:ascii="Aptos" w:eastAsia="Aptos" w:hAnsi="Aptos"/>
                <w:lang w:val="bg-BG" w:eastAsia="en-US"/>
              </w:rPr>
            </w:pPr>
            <w:r w:rsidRPr="00B9291B">
              <w:rPr>
                <w:rFonts w:ascii="Aptos" w:eastAsia="Aptos" w:hAnsi="Aptos"/>
                <w:lang w:val="bg-BG" w:eastAsia="en-US"/>
              </w:rPr>
              <w:t>Bulgaria will be the 21st of the EU's 27 member countries to have the euro as their currency</w:t>
            </w:r>
            <w:r w:rsidRPr="00B9291B">
              <w:rPr>
                <w:rFonts w:ascii="Aptos" w:eastAsia="Aptos" w:hAnsi="Aptos"/>
                <w:lang w:val="en-US" w:eastAsia="en-US"/>
              </w:rPr>
              <w:t xml:space="preserve">. </w:t>
            </w:r>
            <w:r w:rsidRPr="00B9291B">
              <w:rPr>
                <w:rFonts w:ascii="Aptos" w:eastAsia="Aptos" w:hAnsi="Aptos"/>
                <w:lang w:val="bg-BG" w:eastAsia="en-US"/>
              </w:rPr>
              <w:t xml:space="preserve">Bulgaria’s forthcoming adoption of the Еuro represents not merely a change of currency but a constitutional and legal transformation that completes the country’s integration into the European Union’s Economic and Monetary Union (EMU). </w:t>
            </w:r>
            <w:r w:rsidRPr="00B9291B">
              <w:rPr>
                <w:rFonts w:ascii="Aptos" w:eastAsia="Aptos" w:hAnsi="Aptos"/>
                <w:lang w:val="en-US" w:eastAsia="en-US"/>
              </w:rPr>
              <w:t>What is more,</w:t>
            </w:r>
            <w:r w:rsidRPr="00B9291B">
              <w:rPr>
                <w:rFonts w:ascii="Aptos" w:eastAsia="Aptos" w:hAnsi="Aptos"/>
                <w:lang w:val="bg-BG" w:eastAsia="en-US"/>
              </w:rPr>
              <w:t xml:space="preserve"> </w:t>
            </w:r>
            <w:r w:rsidRPr="00B9291B">
              <w:rPr>
                <w:rFonts w:ascii="Aptos" w:eastAsia="Aptos" w:hAnsi="Aptos"/>
                <w:lang w:val="en-US" w:eastAsia="en-US"/>
              </w:rPr>
              <w:t xml:space="preserve">Bulgaria with Romania were the last countries to join the Schengen area, which was expanded multiple times, on 1 January 2025. </w:t>
            </w:r>
            <w:r w:rsidRPr="00B9291B">
              <w:rPr>
                <w:rFonts w:ascii="Aptos" w:eastAsia="Aptos" w:hAnsi="Aptos"/>
                <w:lang w:val="bg-BG" w:eastAsia="en-US"/>
              </w:rPr>
              <w:t xml:space="preserve">As an EU member since 2007, Bulgaria has committed to replacing its national currency, the lev (BGN), with the Еuro (€) upon fulfillment of the Maastricht convergence criteria. This process, grounded in EU primary </w:t>
            </w:r>
            <w:r w:rsidRPr="00B9291B">
              <w:rPr>
                <w:rFonts w:ascii="Aptos" w:eastAsia="Aptos" w:hAnsi="Aptos"/>
                <w:lang w:val="bg-BG" w:eastAsia="en-US"/>
              </w:rPr>
              <w:lastRenderedPageBreak/>
              <w:t>and secondary law, extends far beyond monetary reform: it reshapes Bulgaria’s legal framework, redistributes elements of sovereignty, and embeds the country within the institutional and normative architecture of the Еuro area.</w:t>
            </w:r>
          </w:p>
          <w:p w14:paraId="2C579BB9" w14:textId="77777777" w:rsidR="00B9291B" w:rsidRPr="00B9291B" w:rsidRDefault="00B9291B" w:rsidP="00B9291B">
            <w:pPr>
              <w:spacing w:after="160" w:line="278" w:lineRule="auto"/>
              <w:jc w:val="both"/>
              <w:rPr>
                <w:rFonts w:ascii="Aptos" w:eastAsia="Aptos" w:hAnsi="Aptos"/>
                <w:lang w:val="bg-BG" w:eastAsia="en-US"/>
              </w:rPr>
            </w:pPr>
            <w:r w:rsidRPr="00B9291B">
              <w:rPr>
                <w:rFonts w:ascii="Aptos" w:eastAsia="Aptos" w:hAnsi="Aptos"/>
                <w:lang w:val="bg-BG" w:eastAsia="en-US"/>
              </w:rPr>
              <w:t xml:space="preserve">Historically, the creation of the EMU and the introduction of the Еuro marked the culmination of Europe’s economic unification. </w:t>
            </w:r>
            <w:r w:rsidRPr="00B9291B">
              <w:rPr>
                <w:rFonts w:ascii="Aptos" w:eastAsia="Aptos" w:hAnsi="Aptos"/>
                <w:lang w:val="en-GB" w:eastAsia="en-US"/>
              </w:rPr>
              <w:t>T</w:t>
            </w:r>
            <w:r w:rsidRPr="00B9291B">
              <w:rPr>
                <w:rFonts w:ascii="Aptos" w:eastAsia="Aptos" w:hAnsi="Aptos"/>
                <w:lang w:val="bg-BG" w:eastAsia="en-US"/>
              </w:rPr>
              <w:t>he euro was conceived not merely as a technical instrument of exchange but as a legal and political mechanism for securing monetary stability and deepening European cohesion. The single currency eliminated exchange-rate volatility, harmonized interest rates, and reduced transaction costs within the internal market. At the same time, it symboli</w:t>
            </w:r>
            <w:r w:rsidRPr="00B9291B">
              <w:rPr>
                <w:rFonts w:ascii="Aptos" w:eastAsia="Aptos" w:hAnsi="Aptos"/>
                <w:lang w:val="en-GB" w:eastAsia="en-US"/>
              </w:rPr>
              <w:t>s</w:t>
            </w:r>
            <w:r w:rsidRPr="00B9291B">
              <w:rPr>
                <w:rFonts w:ascii="Aptos" w:eastAsia="Aptos" w:hAnsi="Aptos"/>
                <w:lang w:val="bg-BG" w:eastAsia="en-US"/>
              </w:rPr>
              <w:t>ed a new form of shared sovereignty: the voluntary transfer of monetary authority from national governments to supranational institutions, particularly the European Central Bank (ECB) and the European System of Central Banks (ESCB).</w:t>
            </w:r>
          </w:p>
          <w:p w14:paraId="37FDCC65" w14:textId="77777777" w:rsidR="00B9291B" w:rsidRPr="00B9291B" w:rsidRDefault="00B9291B" w:rsidP="00B9291B">
            <w:pPr>
              <w:spacing w:after="160" w:line="278" w:lineRule="auto"/>
              <w:jc w:val="both"/>
              <w:rPr>
                <w:rFonts w:ascii="Aptos" w:eastAsia="Aptos" w:hAnsi="Aptos"/>
                <w:lang w:val="bg-BG" w:eastAsia="en-US"/>
              </w:rPr>
            </w:pPr>
            <w:r w:rsidRPr="00B9291B">
              <w:rPr>
                <w:rFonts w:ascii="Aptos" w:eastAsia="Aptos" w:hAnsi="Aptos"/>
                <w:lang w:val="bg-BG" w:eastAsia="en-US"/>
              </w:rPr>
              <w:t xml:space="preserve">The Greek experience, demonstrates the dual character of this transition. On one hand, it strengthens macroeconomic discipline through compliance with the convergence criteria—price stability, fiscal prudence, exchange-rate consistency, and long-term interest-rate convergence. On the other, it requires a reconfiguration of domestic legal systems to ensure contractual continuity, safeguard monetary obligations, and recognize the </w:t>
            </w:r>
            <w:r w:rsidRPr="00B9291B">
              <w:rPr>
                <w:rFonts w:ascii="Aptos" w:eastAsia="Aptos" w:hAnsi="Aptos"/>
                <w:lang w:val="en-GB" w:eastAsia="en-US"/>
              </w:rPr>
              <w:t>E</w:t>
            </w:r>
            <w:r w:rsidRPr="00B9291B">
              <w:rPr>
                <w:rFonts w:ascii="Aptos" w:eastAsia="Aptos" w:hAnsi="Aptos"/>
                <w:lang w:val="bg-BG" w:eastAsia="en-US"/>
              </w:rPr>
              <w:t xml:space="preserve">uro as the sole legal tender. The jurisprudence developed under Council Regulations (EC) No. 1103/97 and No. 974/98 enshrined two core principles: the </w:t>
            </w:r>
            <w:r w:rsidRPr="00B9291B">
              <w:rPr>
                <w:rFonts w:ascii="Aptos" w:eastAsia="Aptos" w:hAnsi="Aptos"/>
                <w:b/>
                <w:bCs/>
                <w:lang w:val="bg-BG" w:eastAsia="en-US"/>
              </w:rPr>
              <w:t>legal continuity of contracts</w:t>
            </w:r>
            <w:r w:rsidRPr="00B9291B">
              <w:rPr>
                <w:rFonts w:ascii="Aptos" w:eastAsia="Aptos" w:hAnsi="Aptos"/>
                <w:lang w:val="bg-BG" w:eastAsia="en-US"/>
              </w:rPr>
              <w:t xml:space="preserve"> and the </w:t>
            </w:r>
            <w:r w:rsidRPr="00B9291B">
              <w:rPr>
                <w:rFonts w:ascii="Aptos" w:eastAsia="Aptos" w:hAnsi="Aptos"/>
                <w:b/>
                <w:bCs/>
                <w:lang w:val="bg-BG" w:eastAsia="en-US"/>
              </w:rPr>
              <w:t>doctrine of lex monetae</w:t>
            </w:r>
            <w:r w:rsidRPr="00B9291B">
              <w:rPr>
                <w:rFonts w:ascii="Aptos" w:eastAsia="Aptos" w:hAnsi="Aptos"/>
                <w:lang w:val="bg-BG" w:eastAsia="en-US"/>
              </w:rPr>
              <w:t>. Together, these ensure that all monetary values and obligations expressed in national currencies automatically convert into euros at the irrevocably fixed exchange rate, preserving their validity and substance.</w:t>
            </w:r>
          </w:p>
          <w:p w14:paraId="1E96FD69" w14:textId="77777777" w:rsidR="00B9291B" w:rsidRPr="00B9291B" w:rsidRDefault="00B9291B" w:rsidP="00B9291B">
            <w:pPr>
              <w:spacing w:after="160" w:line="278" w:lineRule="auto"/>
              <w:jc w:val="both"/>
              <w:rPr>
                <w:rFonts w:ascii="Aptos" w:eastAsia="Aptos" w:hAnsi="Aptos"/>
                <w:lang w:val="bg-BG" w:eastAsia="en-US"/>
              </w:rPr>
            </w:pPr>
            <w:r w:rsidRPr="00B9291B">
              <w:rPr>
                <w:rFonts w:ascii="Aptos" w:eastAsia="Aptos" w:hAnsi="Aptos"/>
                <w:lang w:val="bg-BG" w:eastAsia="en-US"/>
              </w:rPr>
              <w:t>For Bulgaria, which has maintained a currency board since 1997 with the lev pegged to the euro (1.95583 BGN = 1 EUR), the legal transformation will formalize an already de facto monetary reality. Yet the shift from a unilateral peg to full eurozone membership entails profound institutional and constitutional consequences. The</w:t>
            </w:r>
            <w:r w:rsidRPr="00B9291B">
              <w:rPr>
                <w:rFonts w:ascii="Aptos" w:eastAsia="Aptos" w:hAnsi="Aptos"/>
                <w:lang w:val="en-GB" w:eastAsia="en-US"/>
              </w:rPr>
              <w:t xml:space="preserve"> </w:t>
            </w:r>
            <w:r w:rsidRPr="00B9291B">
              <w:rPr>
                <w:rFonts w:ascii="Aptos" w:eastAsia="Aptos" w:hAnsi="Aptos"/>
                <w:lang w:val="bg-BG" w:eastAsia="en-US"/>
              </w:rPr>
              <w:t>Law on the Introduction of the Euro in the Republic of Bulgaria (the “</w:t>
            </w:r>
            <w:r w:rsidRPr="00B9291B">
              <w:rPr>
                <w:rFonts w:ascii="Aptos" w:eastAsia="Aptos" w:hAnsi="Aptos"/>
                <w:b/>
                <w:bCs/>
                <w:lang w:val="bg-BG" w:eastAsia="en-US"/>
              </w:rPr>
              <w:t>Euro Act</w:t>
            </w:r>
            <w:r w:rsidRPr="00B9291B">
              <w:rPr>
                <w:rFonts w:ascii="Aptos" w:eastAsia="Aptos" w:hAnsi="Aptos"/>
                <w:lang w:val="bg-BG" w:eastAsia="en-US"/>
              </w:rPr>
              <w:t xml:space="preserve">”) translates the European legal model into national legislation, ensuring automatic conversion, consumer and debtor protection, and the uninterrupted operation of existing contracts, securities, and judicial decisions. In doing so, Bulgaria reaffirms the principle that the </w:t>
            </w:r>
            <w:r w:rsidRPr="00B9291B">
              <w:rPr>
                <w:rFonts w:ascii="Aptos" w:eastAsia="Aptos" w:hAnsi="Aptos"/>
                <w:lang w:val="en-GB" w:eastAsia="en-US"/>
              </w:rPr>
              <w:t>E</w:t>
            </w:r>
            <w:r w:rsidRPr="00B9291B">
              <w:rPr>
                <w:rFonts w:ascii="Aptos" w:eastAsia="Aptos" w:hAnsi="Aptos"/>
                <w:lang w:val="bg-BG" w:eastAsia="en-US"/>
              </w:rPr>
              <w:t xml:space="preserve">uro is not a </w:t>
            </w:r>
            <w:r w:rsidRPr="00B9291B">
              <w:rPr>
                <w:rFonts w:ascii="Aptos" w:eastAsia="Aptos" w:hAnsi="Aptos"/>
                <w:i/>
                <w:iCs/>
                <w:lang w:val="bg-BG" w:eastAsia="en-US"/>
              </w:rPr>
              <w:t>new</w:t>
            </w:r>
            <w:r w:rsidRPr="00B9291B">
              <w:rPr>
                <w:rFonts w:ascii="Aptos" w:eastAsia="Aptos" w:hAnsi="Aptos"/>
                <w:lang w:val="bg-BG" w:eastAsia="en-US"/>
              </w:rPr>
              <w:t xml:space="preserve"> currency replacing the </w:t>
            </w:r>
            <w:r w:rsidRPr="00B9291B">
              <w:rPr>
                <w:rFonts w:ascii="Aptos" w:eastAsia="Aptos" w:hAnsi="Aptos"/>
                <w:lang w:val="en-GB" w:eastAsia="en-US"/>
              </w:rPr>
              <w:t>L</w:t>
            </w:r>
            <w:r w:rsidRPr="00B9291B">
              <w:rPr>
                <w:rFonts w:ascii="Aptos" w:eastAsia="Aptos" w:hAnsi="Aptos"/>
                <w:lang w:val="bg-BG" w:eastAsia="en-US"/>
              </w:rPr>
              <w:t xml:space="preserve">ev, but the </w:t>
            </w:r>
            <w:r w:rsidRPr="00B9291B">
              <w:rPr>
                <w:rFonts w:ascii="Aptos" w:eastAsia="Aptos" w:hAnsi="Aptos"/>
                <w:i/>
                <w:iCs/>
                <w:lang w:val="bg-BG" w:eastAsia="en-US"/>
              </w:rPr>
              <w:t>legal continuation</w:t>
            </w:r>
            <w:r w:rsidRPr="00B9291B">
              <w:rPr>
                <w:rFonts w:ascii="Aptos" w:eastAsia="Aptos" w:hAnsi="Aptos"/>
                <w:lang w:val="bg-BG" w:eastAsia="en-US"/>
              </w:rPr>
              <w:t xml:space="preserve"> of it within the unified European monetary system.</w:t>
            </w:r>
          </w:p>
          <w:p w14:paraId="218459E5" w14:textId="77777777" w:rsidR="00B9291B" w:rsidRPr="00B9291B" w:rsidRDefault="00B9291B" w:rsidP="00B9291B">
            <w:pPr>
              <w:spacing w:after="160" w:line="278" w:lineRule="auto"/>
              <w:jc w:val="both"/>
              <w:rPr>
                <w:rFonts w:ascii="Aptos" w:eastAsia="Aptos" w:hAnsi="Aptos"/>
                <w:lang w:val="bg-BG" w:eastAsia="en-US"/>
              </w:rPr>
            </w:pPr>
            <w:r w:rsidRPr="00B9291B">
              <w:rPr>
                <w:rFonts w:ascii="Aptos" w:eastAsia="Aptos" w:hAnsi="Aptos"/>
                <w:lang w:val="bg-BG" w:eastAsia="en-US"/>
              </w:rPr>
              <w:t xml:space="preserve">The implications extend far beyond monetary policy. Euro adoption affects constitutional law (via the transfer of sovereign competences), private law (through the maintenance of contractual balance), fiscal governance (under the </w:t>
            </w:r>
            <w:r w:rsidRPr="00B9291B">
              <w:rPr>
                <w:rFonts w:ascii="Aptos" w:eastAsia="Aptos" w:hAnsi="Aptos"/>
                <w:lang w:val="bg-BG" w:eastAsia="en-US"/>
              </w:rPr>
              <w:lastRenderedPageBreak/>
              <w:t xml:space="preserve">Stability and Growth Pact), and private international law (through the application of </w:t>
            </w:r>
            <w:r w:rsidRPr="00B9291B">
              <w:rPr>
                <w:rFonts w:ascii="Aptos" w:eastAsia="Aptos" w:hAnsi="Aptos"/>
                <w:i/>
                <w:iCs/>
                <w:lang w:val="bg-BG" w:eastAsia="en-US"/>
              </w:rPr>
              <w:t>lex monetae</w:t>
            </w:r>
            <w:r w:rsidRPr="00B9291B">
              <w:rPr>
                <w:rFonts w:ascii="Aptos" w:eastAsia="Aptos" w:hAnsi="Aptos"/>
                <w:lang w:val="bg-BG" w:eastAsia="en-US"/>
              </w:rPr>
              <w:t xml:space="preserve">). As comparative experience—especially Greece’s—has shown, national prohibitions on foreign currency clauses and the nominalistic principle must adapt to the supranational framework of the </w:t>
            </w:r>
            <w:r w:rsidRPr="00B9291B">
              <w:rPr>
                <w:rFonts w:ascii="Aptos" w:eastAsia="Aptos" w:hAnsi="Aptos"/>
                <w:lang w:val="en-GB" w:eastAsia="en-US"/>
              </w:rPr>
              <w:t>E</w:t>
            </w:r>
            <w:r w:rsidRPr="00B9291B">
              <w:rPr>
                <w:rFonts w:ascii="Aptos" w:eastAsia="Aptos" w:hAnsi="Aptos"/>
                <w:lang w:val="bg-BG" w:eastAsia="en-US"/>
              </w:rPr>
              <w:t>uro area.</w:t>
            </w:r>
          </w:p>
          <w:p w14:paraId="6D797B3C" w14:textId="77777777" w:rsidR="00B9291B" w:rsidRPr="00B9291B" w:rsidRDefault="00B9291B" w:rsidP="00B9291B">
            <w:pPr>
              <w:spacing w:after="160" w:line="278" w:lineRule="auto"/>
              <w:jc w:val="both"/>
              <w:rPr>
                <w:rFonts w:ascii="Aptos" w:eastAsia="Aptos" w:hAnsi="Aptos"/>
                <w:lang w:val="bg-BG" w:eastAsia="en-US"/>
              </w:rPr>
            </w:pPr>
            <w:r w:rsidRPr="00B9291B">
              <w:rPr>
                <w:rFonts w:ascii="Aptos" w:eastAsia="Aptos" w:hAnsi="Aptos"/>
                <w:lang w:val="bg-BG" w:eastAsia="en-US"/>
              </w:rPr>
              <w:t>Ultimately, Bulgaria’s adoption of the euro embodies the final stage of its European integration. It consolidates legal certainty, enhances market transparency, and integrates the country into the EU’s fiscal and banking architecture. By transferring monetary competence to the ECB, Bulgaria gains access to a stable currency and the institutional mechanisms that underpin eurozone stability, while assuming the constitutional discipline that this membership entails. The Euro Act thus marks a decisive moment in Bulgaria’s legal development: a convergence of constitutional, private, and monetary law under the shared sovereignty of the Union.</w:t>
            </w:r>
          </w:p>
          <w:p w14:paraId="68798CDA" w14:textId="77777777" w:rsidR="00B9291B" w:rsidRPr="00B9291B" w:rsidRDefault="00B9291B" w:rsidP="00B9291B">
            <w:pPr>
              <w:spacing w:after="160" w:line="278" w:lineRule="auto"/>
              <w:jc w:val="both"/>
              <w:rPr>
                <w:rFonts w:ascii="Aptos" w:eastAsia="Aptos" w:hAnsi="Aptos"/>
                <w:lang w:val="bg-BG" w:eastAsia="en-US"/>
              </w:rPr>
            </w:pPr>
          </w:p>
          <w:p w14:paraId="1A1D824E" w14:textId="77777777" w:rsidR="00B9291B" w:rsidRPr="00B9291B" w:rsidRDefault="00B9291B" w:rsidP="00B9291B">
            <w:pPr>
              <w:spacing w:after="160" w:line="278" w:lineRule="auto"/>
              <w:jc w:val="both"/>
              <w:rPr>
                <w:rFonts w:ascii="Aptos" w:eastAsia="Aptos" w:hAnsi="Aptos"/>
                <w:b/>
                <w:bCs/>
                <w:lang w:val="bg-BG" w:eastAsia="en-US"/>
              </w:rPr>
            </w:pPr>
            <w:r w:rsidRPr="00B9291B">
              <w:rPr>
                <w:rFonts w:ascii="Aptos" w:eastAsia="Aptos" w:hAnsi="Aptos"/>
                <w:b/>
                <w:bCs/>
                <w:lang w:val="bg-BG" w:eastAsia="en-US"/>
              </w:rPr>
              <w:t>1. Legal Continuity and the Rule of Conversion</w:t>
            </w:r>
          </w:p>
          <w:p w14:paraId="791CAE84" w14:textId="77777777" w:rsidR="00B9291B" w:rsidRPr="00B9291B" w:rsidRDefault="00B9291B" w:rsidP="00B9291B">
            <w:pPr>
              <w:spacing w:after="160" w:line="278" w:lineRule="auto"/>
              <w:jc w:val="both"/>
              <w:rPr>
                <w:rFonts w:ascii="Aptos" w:eastAsia="Aptos" w:hAnsi="Aptos"/>
                <w:lang w:val="bg-BG" w:eastAsia="en-US"/>
              </w:rPr>
            </w:pPr>
            <w:r w:rsidRPr="00B9291B">
              <w:rPr>
                <w:rFonts w:ascii="Aptos" w:eastAsia="Aptos" w:hAnsi="Aptos"/>
                <w:lang w:val="bg-BG" w:eastAsia="en-US"/>
              </w:rPr>
              <w:t xml:space="preserve">The Euro Act stipulates that all monetary values expressed in BGN shall automatically be considered as expressed in </w:t>
            </w:r>
            <w:r w:rsidRPr="00B9291B">
              <w:rPr>
                <w:rFonts w:ascii="Aptos" w:eastAsia="Aptos" w:hAnsi="Aptos"/>
                <w:lang w:val="en-GB" w:eastAsia="en-US"/>
              </w:rPr>
              <w:t>E</w:t>
            </w:r>
            <w:r w:rsidRPr="00B9291B">
              <w:rPr>
                <w:rFonts w:ascii="Aptos" w:eastAsia="Aptos" w:hAnsi="Aptos"/>
                <w:lang w:val="bg-BG" w:eastAsia="en-US"/>
              </w:rPr>
              <w:t>uros, applying the official fixed rate of 1.95583 BGN per 1 EUR, rounded to two decimals. This automatic conversion guarantees the continuity of contracts, ensuring that existing obligations, securities, and judicial decisions remain valid without amendment or renegotiation.</w:t>
            </w:r>
          </w:p>
          <w:p w14:paraId="5C600965" w14:textId="77777777" w:rsidR="00B9291B" w:rsidRPr="00B9291B" w:rsidRDefault="00B9291B" w:rsidP="00B9291B">
            <w:pPr>
              <w:spacing w:after="160" w:line="278" w:lineRule="auto"/>
              <w:jc w:val="both"/>
              <w:rPr>
                <w:rFonts w:ascii="Aptos" w:eastAsia="Aptos" w:hAnsi="Aptos"/>
                <w:lang w:val="bg-BG" w:eastAsia="en-US"/>
              </w:rPr>
            </w:pPr>
            <w:r w:rsidRPr="00B9291B">
              <w:rPr>
                <w:rFonts w:ascii="Aptos" w:eastAsia="Aptos" w:hAnsi="Aptos"/>
                <w:lang w:val="bg-BG" w:eastAsia="en-US"/>
              </w:rPr>
              <w:t xml:space="preserve">This principle mirrors Article 3 of Council Regulation (EC) No. 1103/97, which established contractual continuity as a cornerstone of the euro’s legal framework. In practice, a bank loan, lease, or judicial award denominated in BGN on 31 December will seamlessly convert into its euro equivalent on 1 January. Thus, the </w:t>
            </w:r>
            <w:r w:rsidRPr="00B9291B">
              <w:rPr>
                <w:rFonts w:ascii="Aptos" w:eastAsia="Aptos" w:hAnsi="Aptos"/>
                <w:lang w:val="en-GB" w:eastAsia="en-US"/>
              </w:rPr>
              <w:t>E</w:t>
            </w:r>
            <w:r w:rsidRPr="00B9291B">
              <w:rPr>
                <w:rFonts w:ascii="Aptos" w:eastAsia="Aptos" w:hAnsi="Aptos"/>
                <w:lang w:val="bg-BG" w:eastAsia="en-US"/>
              </w:rPr>
              <w:t xml:space="preserve">uro steps in not as a “new” currency but as the legal continuation of the </w:t>
            </w:r>
            <w:r w:rsidRPr="00B9291B">
              <w:rPr>
                <w:rFonts w:ascii="Aptos" w:eastAsia="Aptos" w:hAnsi="Aptos"/>
                <w:lang w:val="en-GB" w:eastAsia="en-US"/>
              </w:rPr>
              <w:t>L</w:t>
            </w:r>
            <w:r w:rsidRPr="00B9291B">
              <w:rPr>
                <w:rFonts w:ascii="Aptos" w:eastAsia="Aptos" w:hAnsi="Aptos"/>
                <w:lang w:val="bg-BG" w:eastAsia="en-US"/>
              </w:rPr>
              <w:t>ev.</w:t>
            </w:r>
          </w:p>
          <w:p w14:paraId="6B5542E0" w14:textId="77777777" w:rsidR="00B9291B" w:rsidRPr="00B9291B" w:rsidRDefault="00B9291B" w:rsidP="00B9291B">
            <w:pPr>
              <w:spacing w:after="160" w:line="278" w:lineRule="auto"/>
              <w:jc w:val="both"/>
              <w:rPr>
                <w:rFonts w:ascii="Aptos" w:eastAsia="Aptos" w:hAnsi="Aptos"/>
                <w:lang w:val="bg-BG" w:eastAsia="en-US"/>
              </w:rPr>
            </w:pPr>
            <w:r w:rsidRPr="00B9291B">
              <w:rPr>
                <w:rFonts w:ascii="Aptos" w:eastAsia="Aptos" w:hAnsi="Aptos"/>
                <w:lang w:val="bg-BG" w:eastAsia="en-US"/>
              </w:rPr>
              <w:t xml:space="preserve">The automatic conversion also extends to public receivables and obligations—taxes, social contributions, and municipal payments—which will henceforth be collected in </w:t>
            </w:r>
            <w:r w:rsidRPr="00B9291B">
              <w:rPr>
                <w:rFonts w:ascii="Aptos" w:eastAsia="Aptos" w:hAnsi="Aptos"/>
                <w:lang w:val="en-GB" w:eastAsia="en-US"/>
              </w:rPr>
              <w:t>E</w:t>
            </w:r>
            <w:r w:rsidRPr="00B9291B">
              <w:rPr>
                <w:rFonts w:ascii="Aptos" w:eastAsia="Aptos" w:hAnsi="Aptos"/>
                <w:lang w:val="bg-BG" w:eastAsia="en-US"/>
              </w:rPr>
              <w:t>uros. For one month, however, both currencies will circulate concurrently, ensuring a smooth adjustment for consumers and businesses.</w:t>
            </w:r>
          </w:p>
          <w:p w14:paraId="40F38DC0" w14:textId="77777777" w:rsidR="00B9291B" w:rsidRPr="00B9291B" w:rsidRDefault="00B9291B" w:rsidP="00B9291B">
            <w:pPr>
              <w:spacing w:after="160" w:line="278" w:lineRule="auto"/>
              <w:jc w:val="both"/>
              <w:rPr>
                <w:rFonts w:ascii="Aptos" w:eastAsia="Aptos" w:hAnsi="Aptos"/>
                <w:lang w:val="bg-BG" w:eastAsia="en-US"/>
              </w:rPr>
            </w:pPr>
          </w:p>
          <w:p w14:paraId="5A91DAB0" w14:textId="77777777" w:rsidR="00B9291B" w:rsidRPr="00B9291B" w:rsidRDefault="00B9291B" w:rsidP="00B9291B">
            <w:pPr>
              <w:spacing w:after="160" w:line="278" w:lineRule="auto"/>
              <w:jc w:val="both"/>
              <w:rPr>
                <w:rFonts w:ascii="Aptos" w:eastAsia="Aptos" w:hAnsi="Aptos"/>
                <w:b/>
                <w:bCs/>
                <w:lang w:val="bg-BG" w:eastAsia="en-US"/>
              </w:rPr>
            </w:pPr>
            <w:r w:rsidRPr="00B9291B">
              <w:rPr>
                <w:rFonts w:ascii="Aptos" w:eastAsia="Aptos" w:hAnsi="Aptos"/>
                <w:b/>
                <w:bCs/>
                <w:lang w:val="bg-BG" w:eastAsia="en-US"/>
              </w:rPr>
              <w:t>2. Financial Services and Banking Practice</w:t>
            </w:r>
          </w:p>
          <w:p w14:paraId="287F66E8" w14:textId="77777777" w:rsidR="00B9291B" w:rsidRPr="00B9291B" w:rsidRDefault="00B9291B" w:rsidP="00B9291B">
            <w:pPr>
              <w:spacing w:after="160" w:line="278" w:lineRule="auto"/>
              <w:jc w:val="both"/>
              <w:rPr>
                <w:rFonts w:ascii="Aptos" w:eastAsia="Aptos" w:hAnsi="Aptos"/>
                <w:lang w:val="bg-BG" w:eastAsia="en-US"/>
              </w:rPr>
            </w:pPr>
            <w:r w:rsidRPr="00B9291B">
              <w:rPr>
                <w:rFonts w:ascii="Aptos" w:eastAsia="Aptos" w:hAnsi="Aptos"/>
                <w:lang w:val="bg-BG" w:eastAsia="en-US"/>
              </w:rPr>
              <w:t xml:space="preserve">The </w:t>
            </w:r>
            <w:r w:rsidRPr="00B9291B">
              <w:rPr>
                <w:rFonts w:ascii="Aptos" w:eastAsia="Aptos" w:hAnsi="Aptos"/>
                <w:lang w:val="en-GB" w:eastAsia="en-US"/>
              </w:rPr>
              <w:t>E</w:t>
            </w:r>
            <w:r w:rsidRPr="00B9291B">
              <w:rPr>
                <w:rFonts w:ascii="Aptos" w:eastAsia="Aptos" w:hAnsi="Aptos"/>
                <w:lang w:val="bg-BG" w:eastAsia="en-US"/>
              </w:rPr>
              <w:t xml:space="preserve">uro’s introduction will reshape Bulgaria’s banking sector on multiple levels. All bank accounts in </w:t>
            </w:r>
            <w:r w:rsidRPr="00B9291B">
              <w:rPr>
                <w:rFonts w:ascii="Aptos" w:eastAsia="Aptos" w:hAnsi="Aptos"/>
                <w:lang w:val="en-GB" w:eastAsia="en-US"/>
              </w:rPr>
              <w:t>L</w:t>
            </w:r>
            <w:r w:rsidRPr="00B9291B">
              <w:rPr>
                <w:rFonts w:ascii="Aptos" w:eastAsia="Aptos" w:hAnsi="Aptos"/>
                <w:lang w:val="bg-BG" w:eastAsia="en-US"/>
              </w:rPr>
              <w:t xml:space="preserve">ev will convert automatically and free of charge, </w:t>
            </w:r>
            <w:r w:rsidRPr="00B9291B">
              <w:rPr>
                <w:rFonts w:ascii="Aptos" w:eastAsia="Aptos" w:hAnsi="Aptos"/>
                <w:lang w:val="bg-BG" w:eastAsia="en-US"/>
              </w:rPr>
              <w:lastRenderedPageBreak/>
              <w:t>while ATMs will dispense euro banknotes only. The Bulgarian National Bank and commercial banks will perform cash exchanges free of charge during the initial six months.</w:t>
            </w:r>
          </w:p>
          <w:p w14:paraId="3A9BAB5F" w14:textId="77777777" w:rsidR="00B9291B" w:rsidRPr="00B9291B" w:rsidRDefault="00B9291B" w:rsidP="00B9291B">
            <w:pPr>
              <w:spacing w:after="160" w:line="278" w:lineRule="auto"/>
              <w:jc w:val="both"/>
              <w:rPr>
                <w:rFonts w:ascii="Aptos" w:eastAsia="Aptos" w:hAnsi="Aptos"/>
                <w:lang w:val="bg-BG" w:eastAsia="en-US"/>
              </w:rPr>
            </w:pPr>
            <w:r w:rsidRPr="00B9291B">
              <w:rPr>
                <w:rFonts w:ascii="Aptos" w:eastAsia="Aptos" w:hAnsi="Aptos"/>
                <w:lang w:val="bg-BG" w:eastAsia="en-US"/>
              </w:rPr>
              <w:t>Contractually, the Euro Act distinguishes between fixed and variable interest rate agreements. Fixed-rate loans remain unaffected, while variable-rate agreements may transition to a new benchmark if the previous reference rate ceases to exist—aligning with the EU Benchmark Regulation (EU) 2016/1011. The Act explicitly prohibits any deterioration of borrowers’ conditions due to currency change, embedding consumer fairness as a guiding principle.</w:t>
            </w:r>
          </w:p>
          <w:p w14:paraId="010A343B" w14:textId="77777777" w:rsidR="00B9291B" w:rsidRPr="00B9291B" w:rsidRDefault="00B9291B" w:rsidP="00B9291B">
            <w:pPr>
              <w:spacing w:after="160" w:line="278" w:lineRule="auto"/>
              <w:jc w:val="both"/>
              <w:rPr>
                <w:rFonts w:ascii="Aptos" w:eastAsia="Aptos" w:hAnsi="Aptos"/>
                <w:lang w:val="bg-BG" w:eastAsia="en-US"/>
              </w:rPr>
            </w:pPr>
            <w:r w:rsidRPr="00B9291B">
              <w:rPr>
                <w:rFonts w:ascii="Aptos" w:eastAsia="Aptos" w:hAnsi="Aptos"/>
                <w:lang w:val="bg-BG" w:eastAsia="en-US"/>
              </w:rPr>
              <w:t>For financial markets, euro adoption means full integration into eurozone infrastructure—TARGET, SEPA, and ECB systems—reducing currency risk and transaction costs and improving access to cross-border financing.</w:t>
            </w:r>
          </w:p>
          <w:p w14:paraId="7F82714E" w14:textId="77777777" w:rsidR="00B9291B" w:rsidRPr="00B9291B" w:rsidRDefault="00B9291B" w:rsidP="00B9291B">
            <w:pPr>
              <w:spacing w:after="160" w:line="278" w:lineRule="auto"/>
              <w:jc w:val="both"/>
              <w:rPr>
                <w:rFonts w:ascii="Aptos" w:eastAsia="Aptos" w:hAnsi="Aptos"/>
                <w:lang w:val="bg-BG" w:eastAsia="en-US"/>
              </w:rPr>
            </w:pPr>
          </w:p>
          <w:p w14:paraId="4A41AE2E" w14:textId="77777777" w:rsidR="00B9291B" w:rsidRPr="00B9291B" w:rsidRDefault="00B9291B" w:rsidP="00B9291B">
            <w:pPr>
              <w:spacing w:after="160" w:line="278" w:lineRule="auto"/>
              <w:jc w:val="both"/>
              <w:rPr>
                <w:rFonts w:ascii="Aptos" w:eastAsia="Aptos" w:hAnsi="Aptos"/>
                <w:b/>
                <w:bCs/>
                <w:lang w:val="bg-BG" w:eastAsia="en-US"/>
              </w:rPr>
            </w:pPr>
            <w:r w:rsidRPr="00B9291B">
              <w:rPr>
                <w:rFonts w:ascii="Aptos" w:eastAsia="Aptos" w:hAnsi="Aptos"/>
                <w:b/>
                <w:bCs/>
                <w:lang w:val="bg-BG" w:eastAsia="en-US"/>
              </w:rPr>
              <w:t>3. Impact on Businesses and Corporate Law</w:t>
            </w:r>
          </w:p>
          <w:p w14:paraId="54C3EEDB" w14:textId="77777777" w:rsidR="00B9291B" w:rsidRPr="00B9291B" w:rsidRDefault="00B9291B" w:rsidP="00B9291B">
            <w:pPr>
              <w:spacing w:after="160" w:line="278" w:lineRule="auto"/>
              <w:jc w:val="both"/>
              <w:rPr>
                <w:rFonts w:ascii="Aptos" w:eastAsia="Aptos" w:hAnsi="Aptos"/>
                <w:lang w:val="bg-BG" w:eastAsia="en-US"/>
              </w:rPr>
            </w:pPr>
            <w:r w:rsidRPr="00B9291B">
              <w:rPr>
                <w:rFonts w:ascii="Aptos" w:eastAsia="Aptos" w:hAnsi="Aptos"/>
                <w:lang w:val="bg-BG" w:eastAsia="en-US"/>
              </w:rPr>
              <w:t xml:space="preserve">For companies, </w:t>
            </w:r>
            <w:r w:rsidRPr="00B9291B">
              <w:rPr>
                <w:rFonts w:ascii="Aptos" w:eastAsia="Aptos" w:hAnsi="Aptos"/>
                <w:lang w:val="en-GB" w:eastAsia="en-US"/>
              </w:rPr>
              <w:t>E</w:t>
            </w:r>
            <w:r w:rsidRPr="00B9291B">
              <w:rPr>
                <w:rFonts w:ascii="Aptos" w:eastAsia="Aptos" w:hAnsi="Aptos"/>
                <w:lang w:val="bg-BG" w:eastAsia="en-US"/>
              </w:rPr>
              <w:t xml:space="preserve">uro adoption triggers automatic conversion of registered capital, share values, and accounting balances. The process is mathematically simple but legally significant: nominal share values are recalculated in </w:t>
            </w:r>
            <w:r w:rsidRPr="00B9291B">
              <w:rPr>
                <w:rFonts w:ascii="Aptos" w:eastAsia="Aptos" w:hAnsi="Aptos"/>
                <w:lang w:val="en-GB" w:eastAsia="en-US"/>
              </w:rPr>
              <w:t>E</w:t>
            </w:r>
            <w:r w:rsidRPr="00B9291B">
              <w:rPr>
                <w:rFonts w:ascii="Aptos" w:eastAsia="Aptos" w:hAnsi="Aptos"/>
                <w:lang w:val="bg-BG" w:eastAsia="en-US"/>
              </w:rPr>
              <w:t>uros at the official rate, with rounding differences recorded as retained earnings to preserve shareholder rights.</w:t>
            </w:r>
          </w:p>
          <w:p w14:paraId="7BAF20B8" w14:textId="77777777" w:rsidR="00B9291B" w:rsidRPr="00B9291B" w:rsidRDefault="00B9291B" w:rsidP="00B9291B">
            <w:pPr>
              <w:spacing w:after="160" w:line="278" w:lineRule="auto"/>
              <w:jc w:val="both"/>
              <w:rPr>
                <w:rFonts w:ascii="Aptos" w:eastAsia="Aptos" w:hAnsi="Aptos"/>
                <w:lang w:val="bg-BG" w:eastAsia="en-US"/>
              </w:rPr>
            </w:pPr>
            <w:r w:rsidRPr="00B9291B">
              <w:rPr>
                <w:rFonts w:ascii="Aptos" w:eastAsia="Aptos" w:hAnsi="Aptos"/>
                <w:lang w:val="bg-BG" w:eastAsia="en-US"/>
              </w:rPr>
              <w:t xml:space="preserve">Amendments to the Commercial Act will align with the Euro Act, setting new minimum capital thresholds (EUR 1 for limited liability companies and EUR 25,000 for joint-stock companies). Corporate documentation must reflect the </w:t>
            </w:r>
            <w:r w:rsidRPr="00B9291B">
              <w:rPr>
                <w:rFonts w:ascii="Aptos" w:eastAsia="Aptos" w:hAnsi="Aptos"/>
                <w:lang w:val="en-GB" w:eastAsia="en-US"/>
              </w:rPr>
              <w:t>E</w:t>
            </w:r>
            <w:r w:rsidRPr="00B9291B">
              <w:rPr>
                <w:rFonts w:ascii="Aptos" w:eastAsia="Aptos" w:hAnsi="Aptos"/>
                <w:lang w:val="bg-BG" w:eastAsia="en-US"/>
              </w:rPr>
              <w:t>uro within 12 months or at the next registration. Non-compliance may result in administrative penalties.</w:t>
            </w:r>
          </w:p>
          <w:p w14:paraId="088738E5" w14:textId="77777777" w:rsidR="00B9291B" w:rsidRPr="00B9291B" w:rsidRDefault="00B9291B" w:rsidP="00B9291B">
            <w:pPr>
              <w:spacing w:after="160" w:line="278" w:lineRule="auto"/>
              <w:jc w:val="both"/>
              <w:rPr>
                <w:rFonts w:ascii="Aptos" w:eastAsia="Aptos" w:hAnsi="Aptos"/>
                <w:lang w:val="bg-BG" w:eastAsia="en-US"/>
              </w:rPr>
            </w:pPr>
            <w:r w:rsidRPr="00B9291B">
              <w:rPr>
                <w:rFonts w:ascii="Aptos" w:eastAsia="Aptos" w:hAnsi="Aptos"/>
                <w:lang w:val="bg-BG" w:eastAsia="en-US"/>
              </w:rPr>
              <w:t>These changes streamline cross-border transactions, facilitate capital mobility, and enhance financial statement comparability, especially for SMEs engaging in EU markets.</w:t>
            </w:r>
          </w:p>
          <w:p w14:paraId="469E5B05" w14:textId="77777777" w:rsidR="00B9291B" w:rsidRPr="00B9291B" w:rsidRDefault="00B9291B" w:rsidP="00B9291B">
            <w:pPr>
              <w:spacing w:after="160" w:line="278" w:lineRule="auto"/>
              <w:jc w:val="both"/>
              <w:rPr>
                <w:rFonts w:ascii="Aptos" w:eastAsia="Aptos" w:hAnsi="Aptos"/>
                <w:lang w:val="bg-BG" w:eastAsia="en-US"/>
              </w:rPr>
            </w:pPr>
          </w:p>
          <w:p w14:paraId="4416A0A3" w14:textId="77777777" w:rsidR="00B9291B" w:rsidRPr="00B9291B" w:rsidRDefault="00B9291B" w:rsidP="00B9291B">
            <w:pPr>
              <w:spacing w:after="160" w:line="278" w:lineRule="auto"/>
              <w:jc w:val="both"/>
              <w:rPr>
                <w:rFonts w:ascii="Aptos" w:eastAsia="Aptos" w:hAnsi="Aptos"/>
                <w:b/>
                <w:bCs/>
                <w:lang w:val="bg-BG" w:eastAsia="en-US"/>
              </w:rPr>
            </w:pPr>
            <w:r w:rsidRPr="00B9291B">
              <w:rPr>
                <w:rFonts w:ascii="Aptos" w:eastAsia="Aptos" w:hAnsi="Aptos"/>
                <w:b/>
                <w:bCs/>
                <w:lang w:val="bg-BG" w:eastAsia="en-US"/>
              </w:rPr>
              <w:t>4. Consumer Protection and Market Conduct</w:t>
            </w:r>
          </w:p>
          <w:p w14:paraId="331D748B" w14:textId="77777777" w:rsidR="00B9291B" w:rsidRPr="00B9291B" w:rsidRDefault="00B9291B" w:rsidP="00B9291B">
            <w:pPr>
              <w:spacing w:after="160" w:line="278" w:lineRule="auto"/>
              <w:jc w:val="both"/>
              <w:rPr>
                <w:rFonts w:ascii="Aptos" w:eastAsia="Aptos" w:hAnsi="Aptos"/>
                <w:lang w:val="bg-BG" w:eastAsia="en-US"/>
              </w:rPr>
            </w:pPr>
            <w:r w:rsidRPr="00B9291B">
              <w:rPr>
                <w:rFonts w:ascii="Aptos" w:eastAsia="Aptos" w:hAnsi="Aptos"/>
                <w:lang w:val="bg-BG" w:eastAsia="en-US"/>
              </w:rPr>
              <w:t>Consumer protection is among the most socially sensitive aspects of the transition. For 12 months, traders must display prices in both BGN and euros—a transparency measure designed to prevent hidden price increases and speculative rounding. Non-compliance may lead to fines up to BGN 14,000, underlining the government’s commitment to market fairness.</w:t>
            </w:r>
          </w:p>
          <w:p w14:paraId="0C0CBE7C" w14:textId="77777777" w:rsidR="00B9291B" w:rsidRPr="00B9291B" w:rsidRDefault="00B9291B" w:rsidP="00B9291B">
            <w:pPr>
              <w:spacing w:after="160" w:line="278" w:lineRule="auto"/>
              <w:jc w:val="both"/>
              <w:rPr>
                <w:rFonts w:ascii="Aptos" w:eastAsia="Aptos" w:hAnsi="Aptos"/>
                <w:lang w:val="bg-BG" w:eastAsia="en-US"/>
              </w:rPr>
            </w:pPr>
            <w:r w:rsidRPr="00B9291B">
              <w:rPr>
                <w:rFonts w:ascii="Aptos" w:eastAsia="Aptos" w:hAnsi="Aptos"/>
                <w:lang w:val="bg-BG" w:eastAsia="en-US"/>
              </w:rPr>
              <w:lastRenderedPageBreak/>
              <w:t xml:space="preserve">During the one-month dual circulation period, consumers are entitled to receive change exclusively in </w:t>
            </w:r>
            <w:r w:rsidRPr="00B9291B">
              <w:rPr>
                <w:rFonts w:ascii="Aptos" w:eastAsia="Aptos" w:hAnsi="Aptos"/>
                <w:lang w:val="en-GB" w:eastAsia="en-US"/>
              </w:rPr>
              <w:t>E</w:t>
            </w:r>
            <w:r w:rsidRPr="00B9291B">
              <w:rPr>
                <w:rFonts w:ascii="Aptos" w:eastAsia="Aptos" w:hAnsi="Aptos"/>
                <w:lang w:val="bg-BG" w:eastAsia="en-US"/>
              </w:rPr>
              <w:t>uros, unless temporary shortages occur. These mechanisms maintain confidence and ensure a seamless adaptation to the new currency.</w:t>
            </w:r>
          </w:p>
          <w:p w14:paraId="5FF4412F" w14:textId="77777777" w:rsidR="00B9291B" w:rsidRPr="00B9291B" w:rsidRDefault="00B9291B" w:rsidP="00B9291B">
            <w:pPr>
              <w:spacing w:after="160" w:line="278" w:lineRule="auto"/>
              <w:jc w:val="both"/>
              <w:rPr>
                <w:rFonts w:ascii="Aptos" w:eastAsia="Aptos" w:hAnsi="Aptos"/>
                <w:lang w:val="bg-BG" w:eastAsia="en-US"/>
              </w:rPr>
            </w:pPr>
          </w:p>
          <w:p w14:paraId="3875935F" w14:textId="77777777" w:rsidR="00B9291B" w:rsidRPr="00B9291B" w:rsidRDefault="00B9291B" w:rsidP="00B9291B">
            <w:pPr>
              <w:spacing w:after="160" w:line="278" w:lineRule="auto"/>
              <w:jc w:val="both"/>
              <w:rPr>
                <w:rFonts w:ascii="Aptos" w:eastAsia="Aptos" w:hAnsi="Aptos"/>
                <w:b/>
                <w:bCs/>
                <w:lang w:val="bg-BG" w:eastAsia="en-US"/>
              </w:rPr>
            </w:pPr>
            <w:r w:rsidRPr="00B9291B">
              <w:rPr>
                <w:rFonts w:ascii="Aptos" w:eastAsia="Aptos" w:hAnsi="Aptos"/>
                <w:b/>
                <w:bCs/>
                <w:lang w:val="bg-BG" w:eastAsia="en-US"/>
              </w:rPr>
              <w:t>5. Real Estate, Credit, and Financing Implications</w:t>
            </w:r>
          </w:p>
          <w:p w14:paraId="11A3818D" w14:textId="77777777" w:rsidR="00B9291B" w:rsidRPr="00B9291B" w:rsidRDefault="00B9291B" w:rsidP="00B9291B">
            <w:pPr>
              <w:spacing w:after="160" w:line="278" w:lineRule="auto"/>
              <w:jc w:val="both"/>
              <w:rPr>
                <w:rFonts w:ascii="Aptos" w:eastAsia="Aptos" w:hAnsi="Aptos"/>
                <w:lang w:val="bg-BG" w:eastAsia="en-US"/>
              </w:rPr>
            </w:pPr>
            <w:r w:rsidRPr="00B9291B">
              <w:rPr>
                <w:rFonts w:ascii="Aptos" w:eastAsia="Aptos" w:hAnsi="Aptos"/>
                <w:lang w:val="bg-BG" w:eastAsia="en-US"/>
              </w:rPr>
              <w:t xml:space="preserve">Real estate and credit instruments will convert automatically to euros. Mortgages, leases, and property valuations expressed in BGN will be recalculated, stabilizing long-term financing and removing currency mismatch risks. While property prices may temporarily readjust as psychological thresholds change, the </w:t>
            </w:r>
            <w:r w:rsidRPr="00B9291B">
              <w:rPr>
                <w:rFonts w:ascii="Aptos" w:eastAsia="Aptos" w:hAnsi="Aptos"/>
                <w:lang w:val="en-GB" w:eastAsia="en-US"/>
              </w:rPr>
              <w:t>E</w:t>
            </w:r>
            <w:r w:rsidRPr="00B9291B">
              <w:rPr>
                <w:rFonts w:ascii="Aptos" w:eastAsia="Aptos" w:hAnsi="Aptos"/>
                <w:lang w:val="bg-BG" w:eastAsia="en-US"/>
              </w:rPr>
              <w:t>uro is expected to boost foreign investment and align Bulgaria’s property market with eurozone standards.</w:t>
            </w:r>
          </w:p>
          <w:p w14:paraId="48ADB020" w14:textId="77777777" w:rsidR="00B9291B" w:rsidRPr="00B9291B" w:rsidRDefault="00B9291B" w:rsidP="00B9291B">
            <w:pPr>
              <w:spacing w:after="160" w:line="278" w:lineRule="auto"/>
              <w:jc w:val="both"/>
              <w:rPr>
                <w:rFonts w:ascii="Aptos" w:eastAsia="Aptos" w:hAnsi="Aptos"/>
                <w:lang w:val="bg-BG" w:eastAsia="en-US"/>
              </w:rPr>
            </w:pPr>
          </w:p>
          <w:p w14:paraId="4A4A946A" w14:textId="77777777" w:rsidR="00B9291B" w:rsidRPr="00B9291B" w:rsidRDefault="00B9291B" w:rsidP="00B9291B">
            <w:pPr>
              <w:spacing w:after="160" w:line="278" w:lineRule="auto"/>
              <w:jc w:val="both"/>
              <w:rPr>
                <w:rFonts w:ascii="Aptos" w:eastAsia="Aptos" w:hAnsi="Aptos"/>
                <w:b/>
                <w:bCs/>
                <w:lang w:val="bg-BG" w:eastAsia="en-US"/>
              </w:rPr>
            </w:pPr>
            <w:r w:rsidRPr="00B9291B">
              <w:rPr>
                <w:rFonts w:ascii="Aptos" w:eastAsia="Aptos" w:hAnsi="Aptos"/>
                <w:b/>
                <w:bCs/>
                <w:lang w:val="bg-BG" w:eastAsia="en-US"/>
              </w:rPr>
              <w:t>6. A Broader Perspective: Competition, Confidence, and Integration</w:t>
            </w:r>
          </w:p>
          <w:p w14:paraId="2A2C89B7" w14:textId="77777777" w:rsidR="00B9291B" w:rsidRPr="00B9291B" w:rsidRDefault="00B9291B" w:rsidP="00B9291B">
            <w:pPr>
              <w:spacing w:after="160" w:line="278" w:lineRule="auto"/>
              <w:jc w:val="both"/>
              <w:rPr>
                <w:rFonts w:ascii="Aptos" w:eastAsia="Aptos" w:hAnsi="Aptos"/>
                <w:lang w:val="bg-BG" w:eastAsia="en-US"/>
              </w:rPr>
            </w:pPr>
            <w:r w:rsidRPr="00B9291B">
              <w:rPr>
                <w:rFonts w:ascii="Aptos" w:eastAsia="Aptos" w:hAnsi="Aptos"/>
                <w:lang w:val="bg-BG" w:eastAsia="en-US"/>
              </w:rPr>
              <w:t>From a legal-economic standpoint, euro adoption transcends monetary substitution. It signifies Bulgaria’s full entry into the EU’s economic and monetary core. The elimination of exchange-rate risk will foster competition, harmonize pricing, and improve capital mobility.</w:t>
            </w:r>
          </w:p>
          <w:p w14:paraId="09ABF7D7" w14:textId="77777777" w:rsidR="00B9291B" w:rsidRPr="00B9291B" w:rsidRDefault="00B9291B" w:rsidP="00B9291B">
            <w:pPr>
              <w:spacing w:after="160" w:line="278" w:lineRule="auto"/>
              <w:jc w:val="both"/>
              <w:rPr>
                <w:rFonts w:ascii="Aptos" w:eastAsia="Aptos" w:hAnsi="Aptos"/>
                <w:lang w:val="bg-BG" w:eastAsia="en-US"/>
              </w:rPr>
            </w:pPr>
            <w:r w:rsidRPr="00B9291B">
              <w:rPr>
                <w:rFonts w:ascii="Aptos" w:eastAsia="Aptos" w:hAnsi="Aptos"/>
                <w:lang w:val="bg-BG" w:eastAsia="en-US"/>
              </w:rPr>
              <w:t xml:space="preserve">For consumers, it promises transparency and access to a unified European market. For companies, it provides predictable financing conditions and access to eurozone liquidity. In legal terms, the </w:t>
            </w:r>
            <w:r w:rsidRPr="00B9291B">
              <w:rPr>
                <w:rFonts w:ascii="Aptos" w:eastAsia="Aptos" w:hAnsi="Aptos"/>
                <w:lang w:val="en-GB" w:eastAsia="en-US"/>
              </w:rPr>
              <w:t>E</w:t>
            </w:r>
            <w:r w:rsidRPr="00B9291B">
              <w:rPr>
                <w:rFonts w:ascii="Aptos" w:eastAsia="Aptos" w:hAnsi="Aptos"/>
                <w:lang w:val="bg-BG" w:eastAsia="en-US"/>
              </w:rPr>
              <w:t>uro reinforces the principles of legal certainty and trust—pillars of sustainable economic governance.</w:t>
            </w:r>
          </w:p>
          <w:p w14:paraId="254FBC16" w14:textId="77777777" w:rsidR="00B9291B" w:rsidRPr="00B9291B" w:rsidRDefault="00B9291B" w:rsidP="00B9291B">
            <w:pPr>
              <w:spacing w:after="160" w:line="278" w:lineRule="auto"/>
              <w:jc w:val="both"/>
              <w:rPr>
                <w:rFonts w:ascii="Aptos" w:eastAsia="Aptos" w:hAnsi="Aptos"/>
                <w:lang w:val="bg-BG" w:eastAsia="en-US"/>
              </w:rPr>
            </w:pPr>
          </w:p>
          <w:p w14:paraId="7EEF6EAE" w14:textId="77777777" w:rsidR="00B9291B" w:rsidRPr="00B9291B" w:rsidRDefault="00B9291B" w:rsidP="00B9291B">
            <w:pPr>
              <w:spacing w:after="160" w:line="278" w:lineRule="auto"/>
              <w:jc w:val="both"/>
              <w:rPr>
                <w:rFonts w:ascii="Aptos" w:eastAsia="Aptos" w:hAnsi="Aptos"/>
                <w:lang w:val="bg-BG" w:eastAsia="en-US"/>
              </w:rPr>
            </w:pPr>
            <w:r w:rsidRPr="00B9291B">
              <w:rPr>
                <w:rFonts w:ascii="Aptos" w:eastAsia="Aptos" w:hAnsi="Aptos"/>
                <w:lang w:val="bg-BG" w:eastAsia="en-US"/>
              </w:rPr>
              <w:t xml:space="preserve">Bulgaria’s accession to the </w:t>
            </w:r>
            <w:r w:rsidRPr="00B9291B">
              <w:rPr>
                <w:rFonts w:ascii="Aptos" w:eastAsia="Aptos" w:hAnsi="Aptos"/>
                <w:lang w:val="en-GB" w:eastAsia="en-US"/>
              </w:rPr>
              <w:t>E</w:t>
            </w:r>
            <w:r w:rsidRPr="00B9291B">
              <w:rPr>
                <w:rFonts w:ascii="Aptos" w:eastAsia="Aptos" w:hAnsi="Aptos"/>
                <w:lang w:val="bg-BG" w:eastAsia="en-US"/>
              </w:rPr>
              <w:t xml:space="preserve">uro area is more than a financial reform—it is a legal and institutional milestone. The Euro Act operationalizes principles forged during earlier stages of European monetary integration—continuity of contracts, fairness in conversion, and protection of monetary obligations. As Bulgaria prepares to join the eurozone,  by </w:t>
            </w:r>
            <w:r w:rsidRPr="00B9291B">
              <w:rPr>
                <w:rFonts w:ascii="Aptos" w:eastAsia="Aptos" w:hAnsi="Aptos"/>
                <w:lang w:val="en-US" w:eastAsia="en-US"/>
              </w:rPr>
              <w:t xml:space="preserve">January </w:t>
            </w:r>
            <w:r w:rsidRPr="00B9291B">
              <w:rPr>
                <w:rFonts w:ascii="Aptos" w:eastAsia="Aptos" w:hAnsi="Aptos"/>
                <w:lang w:val="bg-BG" w:eastAsia="en-US"/>
              </w:rPr>
              <w:t xml:space="preserve"> 2026, its legal framework evolves toward deeper alignment with the EU’s monetary constitution.</w:t>
            </w:r>
          </w:p>
          <w:p w14:paraId="42760F7C" w14:textId="77777777" w:rsidR="00B9291B" w:rsidRPr="00B9291B" w:rsidRDefault="00B9291B" w:rsidP="00B9291B">
            <w:pPr>
              <w:spacing w:after="160" w:line="278" w:lineRule="auto"/>
              <w:jc w:val="both"/>
              <w:rPr>
                <w:rFonts w:ascii="Aptos" w:eastAsia="Aptos" w:hAnsi="Aptos"/>
                <w:lang w:val="bg-BG" w:eastAsia="en-US"/>
              </w:rPr>
            </w:pPr>
            <w:r w:rsidRPr="00B9291B">
              <w:rPr>
                <w:rFonts w:ascii="Aptos" w:eastAsia="Aptos" w:hAnsi="Aptos"/>
                <w:lang w:val="bg-BG" w:eastAsia="en-US"/>
              </w:rPr>
              <w:t xml:space="preserve">The </w:t>
            </w:r>
            <w:r w:rsidRPr="00B9291B">
              <w:rPr>
                <w:rFonts w:ascii="Aptos" w:eastAsia="Aptos" w:hAnsi="Aptos"/>
                <w:lang w:val="en-GB" w:eastAsia="en-US"/>
              </w:rPr>
              <w:t>E</w:t>
            </w:r>
            <w:r w:rsidRPr="00B9291B">
              <w:rPr>
                <w:rFonts w:ascii="Aptos" w:eastAsia="Aptos" w:hAnsi="Aptos"/>
                <w:lang w:val="bg-BG" w:eastAsia="en-US"/>
              </w:rPr>
              <w:t xml:space="preserve">uro may replace the </w:t>
            </w:r>
            <w:r w:rsidRPr="00B9291B">
              <w:rPr>
                <w:rFonts w:ascii="Aptos" w:eastAsia="Aptos" w:hAnsi="Aptos"/>
                <w:lang w:val="en-GB" w:eastAsia="en-US"/>
              </w:rPr>
              <w:t>L</w:t>
            </w:r>
            <w:r w:rsidRPr="00B9291B">
              <w:rPr>
                <w:rFonts w:ascii="Aptos" w:eastAsia="Aptos" w:hAnsi="Aptos"/>
                <w:lang w:val="bg-BG" w:eastAsia="en-US"/>
              </w:rPr>
              <w:t>ev in form, but in law it represents continuity—anchoring Bulgaria’s economic system within the shared stability, discipline, and destiny of the European Union.</w:t>
            </w:r>
          </w:p>
          <w:p w14:paraId="463CCEB4" w14:textId="77777777" w:rsidR="00B9291B" w:rsidRPr="00B9291B" w:rsidRDefault="00B9291B" w:rsidP="00B9291B">
            <w:pPr>
              <w:spacing w:after="160" w:line="278" w:lineRule="auto"/>
              <w:jc w:val="both"/>
              <w:rPr>
                <w:rFonts w:ascii="Aptos" w:eastAsia="Aptos" w:hAnsi="Aptos"/>
                <w:lang w:val="bg-BG" w:eastAsia="en-US"/>
              </w:rPr>
            </w:pPr>
            <w:r w:rsidRPr="00B9291B">
              <w:rPr>
                <w:rFonts w:ascii="Aptos" w:eastAsia="Aptos" w:hAnsi="Aptos"/>
                <w:lang w:val="bg-BG" w:eastAsia="en-US"/>
              </w:rPr>
              <w:t xml:space="preserve">As with any major transition, the key will be preparation: reviewing contractual terms, updating corporate acts, training staff, and communicating transparently with consumers. The </w:t>
            </w:r>
            <w:r w:rsidRPr="00B9291B">
              <w:rPr>
                <w:rFonts w:ascii="Aptos" w:eastAsia="Aptos" w:hAnsi="Aptos"/>
                <w:lang w:val="en-GB" w:eastAsia="en-US"/>
              </w:rPr>
              <w:t>E</w:t>
            </w:r>
            <w:r w:rsidRPr="00B9291B">
              <w:rPr>
                <w:rFonts w:ascii="Aptos" w:eastAsia="Aptos" w:hAnsi="Aptos"/>
                <w:lang w:val="bg-BG" w:eastAsia="en-US"/>
              </w:rPr>
              <w:t xml:space="preserve">uro may replace the </w:t>
            </w:r>
            <w:r w:rsidRPr="00B9291B">
              <w:rPr>
                <w:rFonts w:ascii="Aptos" w:eastAsia="Aptos" w:hAnsi="Aptos"/>
                <w:lang w:val="en-GB" w:eastAsia="en-US"/>
              </w:rPr>
              <w:t>L</w:t>
            </w:r>
            <w:r w:rsidRPr="00B9291B">
              <w:rPr>
                <w:rFonts w:ascii="Aptos" w:eastAsia="Aptos" w:hAnsi="Aptos"/>
                <w:lang w:val="bg-BG" w:eastAsia="en-US"/>
              </w:rPr>
              <w:t xml:space="preserve">ev, but its success </w:t>
            </w:r>
            <w:r w:rsidRPr="00B9291B">
              <w:rPr>
                <w:rFonts w:ascii="Aptos" w:eastAsia="Aptos" w:hAnsi="Aptos"/>
                <w:lang w:val="bg-BG" w:eastAsia="en-US"/>
              </w:rPr>
              <w:lastRenderedPageBreak/>
              <w:t>will depend on how responsibly institutions, businesses, and professionals manage the change.</w:t>
            </w:r>
          </w:p>
          <w:p w14:paraId="69F0CE65" w14:textId="1E3D64A8" w:rsidR="000C4EC9" w:rsidRPr="00F32A1C" w:rsidRDefault="00B9291B" w:rsidP="00B9291B">
            <w:pPr>
              <w:spacing w:after="160" w:line="278" w:lineRule="auto"/>
              <w:jc w:val="both"/>
              <w:rPr>
                <w:rFonts w:asciiTheme="minorHAnsi" w:hAnsiTheme="minorHAnsi" w:cstheme="minorHAnsi"/>
                <w:b/>
                <w:sz w:val="26"/>
                <w:szCs w:val="26"/>
                <w:lang w:val="en-GB"/>
              </w:rPr>
            </w:pPr>
            <w:r w:rsidRPr="00B9291B">
              <w:rPr>
                <w:rFonts w:ascii="Aptos" w:eastAsia="Aptos" w:hAnsi="Aptos"/>
                <w:lang w:val="bg-BG" w:eastAsia="en-US"/>
              </w:rPr>
              <w:t xml:space="preserve">For the Bulgarian legal and business community, </w:t>
            </w:r>
            <w:r w:rsidRPr="00B9291B">
              <w:rPr>
                <w:rFonts w:ascii="Aptos" w:eastAsia="Aptos" w:hAnsi="Aptos"/>
                <w:lang w:val="en-US" w:eastAsia="en-US"/>
              </w:rPr>
              <w:t xml:space="preserve">on </w:t>
            </w:r>
            <w:r w:rsidRPr="00B9291B">
              <w:rPr>
                <w:rFonts w:ascii="Aptos" w:eastAsia="Aptos" w:hAnsi="Aptos"/>
                <w:lang w:val="bg-BG" w:eastAsia="en-US"/>
              </w:rPr>
              <w:t>1</w:t>
            </w:r>
            <w:r w:rsidRPr="00B9291B">
              <w:rPr>
                <w:rFonts w:ascii="Aptos" w:eastAsia="Aptos" w:hAnsi="Aptos"/>
                <w:lang w:val="en-US" w:eastAsia="en-US"/>
              </w:rPr>
              <w:t>st</w:t>
            </w:r>
            <w:r w:rsidRPr="00B9291B">
              <w:rPr>
                <w:rFonts w:ascii="Aptos" w:eastAsia="Aptos" w:hAnsi="Aptos"/>
                <w:lang w:val="bg-BG" w:eastAsia="en-US"/>
              </w:rPr>
              <w:t xml:space="preserve"> </w:t>
            </w:r>
            <w:r w:rsidRPr="00B9291B">
              <w:rPr>
                <w:rFonts w:ascii="Aptos" w:eastAsia="Aptos" w:hAnsi="Aptos"/>
                <w:lang w:val="en-US" w:eastAsia="en-US"/>
              </w:rPr>
              <w:t xml:space="preserve">of </w:t>
            </w:r>
            <w:r w:rsidRPr="00B9291B">
              <w:rPr>
                <w:rFonts w:ascii="Aptos" w:eastAsia="Aptos" w:hAnsi="Aptos"/>
                <w:lang w:val="bg-BG" w:eastAsia="en-US"/>
              </w:rPr>
              <w:t xml:space="preserve">January </w:t>
            </w:r>
            <w:r w:rsidRPr="00B9291B">
              <w:rPr>
                <w:rFonts w:ascii="Aptos" w:eastAsia="Aptos" w:hAnsi="Aptos"/>
                <w:lang w:val="en-US" w:eastAsia="en-US"/>
              </w:rPr>
              <w:t xml:space="preserve">2026, the official adoption date of the euro, </w:t>
            </w:r>
            <w:r w:rsidRPr="00B9291B">
              <w:rPr>
                <w:rFonts w:ascii="Aptos" w:eastAsia="Aptos" w:hAnsi="Aptos"/>
                <w:lang w:val="bg-BG" w:eastAsia="en-US"/>
              </w:rPr>
              <w:t>marks not only a new currency — but a new chapter of European belonging.</w:t>
            </w:r>
          </w:p>
        </w:tc>
      </w:tr>
    </w:tbl>
    <w:p w14:paraId="15F3864A" w14:textId="77777777" w:rsidR="0024220E" w:rsidRDefault="0024220E" w:rsidP="00433631">
      <w:pPr>
        <w:pStyle w:val="a5"/>
        <w:spacing w:line="360" w:lineRule="auto"/>
        <w:jc w:val="center"/>
        <w:rPr>
          <w:lang w:val="en-US"/>
        </w:rPr>
      </w:pPr>
      <w:bookmarkStart w:id="0" w:name="str_179"/>
      <w:bookmarkStart w:id="1" w:name="str_181"/>
      <w:bookmarkStart w:id="2" w:name="str_182"/>
      <w:bookmarkStart w:id="3" w:name="str_183"/>
      <w:bookmarkEnd w:id="0"/>
      <w:bookmarkEnd w:id="1"/>
      <w:bookmarkEnd w:id="2"/>
      <w:bookmarkEnd w:id="3"/>
    </w:p>
    <w:p w14:paraId="70C2C6D7" w14:textId="420A0877" w:rsidR="008D1745" w:rsidRPr="000C3560" w:rsidRDefault="008D1745" w:rsidP="00433631">
      <w:pPr>
        <w:pStyle w:val="a5"/>
        <w:spacing w:line="360" w:lineRule="auto"/>
        <w:jc w:val="center"/>
        <w:rPr>
          <w:rFonts w:ascii="Arial Nova" w:hAnsi="Arial Nova"/>
          <w:lang w:val="en-US"/>
        </w:rPr>
      </w:pPr>
      <w:hyperlink r:id="rId14" w:history="1">
        <w:r w:rsidRPr="000C3560">
          <w:rPr>
            <w:rStyle w:val="-"/>
            <w:rFonts w:ascii="Arial Nova" w:hAnsi="Arial Nova"/>
            <w:lang w:val="en-US"/>
          </w:rPr>
          <w:t>Follow us on LinkedIn</w:t>
        </w:r>
      </w:hyperlink>
    </w:p>
    <w:p w14:paraId="7B531BF7" w14:textId="77777777" w:rsidR="008D1745" w:rsidRPr="000C3560" w:rsidRDefault="008D1745" w:rsidP="008D1745">
      <w:pPr>
        <w:pStyle w:val="a5"/>
        <w:spacing w:line="360" w:lineRule="auto"/>
        <w:rPr>
          <w:rFonts w:ascii="Arial Nova" w:hAnsi="Arial Nova"/>
          <w:lang w:val="en-US"/>
        </w:rPr>
      </w:pPr>
      <w:r w:rsidRPr="000C3560">
        <w:rPr>
          <w:rFonts w:ascii="Arial Nova" w:hAnsi="Arial Nova"/>
          <w:noProof/>
        </w:rPr>
        <w:drawing>
          <wp:anchor distT="0" distB="0" distL="114300" distR="114300" simplePos="0" relativeHeight="251668480" behindDoc="0" locked="0" layoutInCell="1" allowOverlap="1" wp14:anchorId="3B64BEF0" wp14:editId="22FDC0ED">
            <wp:simplePos x="0" y="0"/>
            <wp:positionH relativeFrom="column">
              <wp:posOffset>2007235</wp:posOffset>
            </wp:positionH>
            <wp:positionV relativeFrom="paragraph">
              <wp:posOffset>148590</wp:posOffset>
            </wp:positionV>
            <wp:extent cx="1457325" cy="355600"/>
            <wp:effectExtent l="0" t="0" r="0" b="6350"/>
            <wp:wrapSquare wrapText="bothSides"/>
            <wp:docPr id="1169568752" name="Picture 1169568752">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282438" name="Picture 670282438">
                      <a:hlinkClick r:id="rId14"/>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57325" cy="355600"/>
                    </a:xfrm>
                    <a:prstGeom prst="rect">
                      <a:avLst/>
                    </a:prstGeom>
                    <a:noFill/>
                    <a:ln>
                      <a:noFill/>
                    </a:ln>
                  </pic:spPr>
                </pic:pic>
              </a:graphicData>
            </a:graphic>
          </wp:anchor>
        </w:drawing>
      </w:r>
    </w:p>
    <w:p w14:paraId="71F821D5" w14:textId="77777777" w:rsidR="00691644" w:rsidRPr="00D5117F" w:rsidRDefault="00691644">
      <w:pPr>
        <w:rPr>
          <w:rFonts w:asciiTheme="minorHAnsi" w:hAnsiTheme="minorHAnsi" w:cstheme="minorHAnsi"/>
          <w:lang w:val="en-US"/>
        </w:rPr>
      </w:pPr>
    </w:p>
    <w:sectPr w:rsidR="00691644" w:rsidRPr="00D5117F" w:rsidSect="00BD41B9">
      <w:headerReference w:type="default" r:id="rId16"/>
      <w:footerReference w:type="default" r:id="rId17"/>
      <w:pgSz w:w="11906" w:h="16838"/>
      <w:pgMar w:top="1440" w:right="1800" w:bottom="1440" w:left="180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53FFCC" w14:textId="77777777" w:rsidR="0083308F" w:rsidRDefault="0083308F" w:rsidP="00BD41B9">
      <w:r>
        <w:separator/>
      </w:r>
    </w:p>
  </w:endnote>
  <w:endnote w:type="continuationSeparator" w:id="0">
    <w:p w14:paraId="0C4DE111" w14:textId="77777777" w:rsidR="0083308F" w:rsidRDefault="0083308F" w:rsidP="00BD41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A1"/>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17672" w14:textId="332D0478" w:rsidR="00646ADE" w:rsidRDefault="00646ADE" w:rsidP="00646ADE">
    <w:pPr>
      <w:pStyle w:val="a5"/>
      <w:jc w:val="center"/>
      <w:rPr>
        <w:lang w:val="en-US"/>
      </w:rPr>
    </w:pPr>
    <w:hyperlink r:id="rId1" w:history="1">
      <w:r w:rsidRPr="00D05350">
        <w:rPr>
          <w:rStyle w:val="-"/>
          <w:lang w:val="en-US"/>
        </w:rPr>
        <w:t>www.rokas.com</w:t>
      </w:r>
    </w:hyperlink>
  </w:p>
  <w:p w14:paraId="1D5EC3A7" w14:textId="77777777" w:rsidR="00646ADE" w:rsidRPr="00646ADE" w:rsidRDefault="00646ADE">
    <w:pPr>
      <w:pStyle w:val="a5"/>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E1F491" w14:textId="77777777" w:rsidR="0083308F" w:rsidRDefault="0083308F" w:rsidP="00BD41B9">
      <w:r>
        <w:separator/>
      </w:r>
    </w:p>
  </w:footnote>
  <w:footnote w:type="continuationSeparator" w:id="0">
    <w:p w14:paraId="316C68B8" w14:textId="77777777" w:rsidR="0083308F" w:rsidRDefault="0083308F" w:rsidP="00BD41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7C4B6" w14:textId="1CE33EBD" w:rsidR="00BD41B9" w:rsidRDefault="00BD41B9">
    <w:pPr>
      <w:pStyle w:val="a4"/>
    </w:pPr>
    <w:r>
      <w:rPr>
        <w:noProof/>
      </w:rPr>
      <w:drawing>
        <wp:inline distT="0" distB="0" distL="0" distR="0" wp14:anchorId="54EA8E4F" wp14:editId="374776B1">
          <wp:extent cx="1539025" cy="385590"/>
          <wp:effectExtent l="0" t="0" r="4445" b="0"/>
          <wp:docPr id="1719682918" name="Picture 1" descr="A blue letter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682918" name="Picture 1" descr="A blue letters on a black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568388" cy="39294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83442"/>
    <w:multiLevelType w:val="multilevel"/>
    <w:tmpl w:val="9AFA18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Symbol" w:eastAsia="Times New Roman" w:hAnsi="Symbol" w:cstheme="minorHAns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6F39F2"/>
    <w:multiLevelType w:val="multilevel"/>
    <w:tmpl w:val="73589A2C"/>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1C0468F"/>
    <w:multiLevelType w:val="hybridMultilevel"/>
    <w:tmpl w:val="7A8CD256"/>
    <w:lvl w:ilvl="0" w:tplc="04080015">
      <w:start w:val="1"/>
      <w:numFmt w:val="upp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0AE11046"/>
    <w:multiLevelType w:val="multilevel"/>
    <w:tmpl w:val="1798A88C"/>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AEE711E"/>
    <w:multiLevelType w:val="multilevel"/>
    <w:tmpl w:val="BA3AFB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0C317405"/>
    <w:multiLevelType w:val="multilevel"/>
    <w:tmpl w:val="87D21C0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0CA70BA1"/>
    <w:multiLevelType w:val="multilevel"/>
    <w:tmpl w:val="BBF08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561BA2"/>
    <w:multiLevelType w:val="hybridMultilevel"/>
    <w:tmpl w:val="B8B6B47E"/>
    <w:lvl w:ilvl="0" w:tplc="012E865E">
      <w:start w:val="3"/>
      <w:numFmt w:val="upperRoman"/>
      <w:lvlText w:val="%1."/>
      <w:lvlJc w:val="right"/>
      <w:pPr>
        <w:ind w:left="720" w:hanging="360"/>
      </w:pPr>
      <w:rPr>
        <w:rFonts w:asciiTheme="minorHAnsi" w:hAnsiTheme="minorHAnsi" w:cstheme="minorHAnsi"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7447A2"/>
    <w:multiLevelType w:val="multilevel"/>
    <w:tmpl w:val="C7B64B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24CF4337"/>
    <w:multiLevelType w:val="hybridMultilevel"/>
    <w:tmpl w:val="D08E7A8E"/>
    <w:lvl w:ilvl="0" w:tplc="26FE2A40">
      <w:start w:val="4"/>
      <w:numFmt w:val="upperRoman"/>
      <w:lvlText w:val="%1."/>
      <w:lvlJc w:val="right"/>
      <w:pPr>
        <w:ind w:left="720" w:hanging="360"/>
      </w:pPr>
      <w:rPr>
        <w:rFonts w:asciiTheme="minorHAnsi" w:hAnsiTheme="minorHAnsi" w:cstheme="minorHAnsi"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BA521C8"/>
    <w:multiLevelType w:val="multilevel"/>
    <w:tmpl w:val="362A77E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39077318"/>
    <w:multiLevelType w:val="hybridMultilevel"/>
    <w:tmpl w:val="D06427E4"/>
    <w:lvl w:ilvl="0" w:tplc="04080015">
      <w:start w:val="1"/>
      <w:numFmt w:val="upp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45395E79"/>
    <w:multiLevelType w:val="multilevel"/>
    <w:tmpl w:val="3A8A2036"/>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458C586D"/>
    <w:multiLevelType w:val="hybridMultilevel"/>
    <w:tmpl w:val="4FD4EB7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15:restartNumberingAfterBreak="0">
    <w:nsid w:val="5E110565"/>
    <w:multiLevelType w:val="multilevel"/>
    <w:tmpl w:val="26F61FD6"/>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625A4F8D"/>
    <w:multiLevelType w:val="multilevel"/>
    <w:tmpl w:val="5A8074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7AA3899"/>
    <w:multiLevelType w:val="multilevel"/>
    <w:tmpl w:val="0E0AE7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6F81667D"/>
    <w:multiLevelType w:val="multilevel"/>
    <w:tmpl w:val="231681A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FF02800"/>
    <w:multiLevelType w:val="multilevel"/>
    <w:tmpl w:val="A0989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FFE3CFD"/>
    <w:multiLevelType w:val="multilevel"/>
    <w:tmpl w:val="1158DB2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75922161"/>
    <w:multiLevelType w:val="hybridMultilevel"/>
    <w:tmpl w:val="8D963A74"/>
    <w:lvl w:ilvl="0" w:tplc="27E0171C">
      <w:start w:val="1"/>
      <w:numFmt w:val="upperRoman"/>
      <w:lvlText w:val="%1."/>
      <w:lvlJc w:val="right"/>
      <w:pPr>
        <w:ind w:left="720" w:hanging="360"/>
      </w:pPr>
      <w:rPr>
        <w:rFonts w:asciiTheme="minorHAnsi" w:hAnsiTheme="minorHAnsi" w:cstheme="minorHAnsi"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5C143BD"/>
    <w:multiLevelType w:val="multilevel"/>
    <w:tmpl w:val="EE3858A4"/>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78995FA4"/>
    <w:multiLevelType w:val="multilevel"/>
    <w:tmpl w:val="A2C282D8"/>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794640DE"/>
    <w:multiLevelType w:val="hybridMultilevel"/>
    <w:tmpl w:val="B1686BBC"/>
    <w:lvl w:ilvl="0" w:tplc="CA607BFC">
      <w:start w:val="2"/>
      <w:numFmt w:val="upperRoman"/>
      <w:lvlText w:val="%1."/>
      <w:lvlJc w:val="right"/>
      <w:pPr>
        <w:ind w:left="720" w:hanging="360"/>
      </w:pPr>
      <w:rPr>
        <w:rFonts w:asciiTheme="minorHAnsi" w:hAnsiTheme="minorHAnsi" w:cstheme="minorHAnsi"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ACC31DD"/>
    <w:multiLevelType w:val="multilevel"/>
    <w:tmpl w:val="52F02FF2"/>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633558484">
    <w:abstractNumId w:val="13"/>
  </w:num>
  <w:num w:numId="2" w16cid:durableId="1624455881">
    <w:abstractNumId w:val="15"/>
  </w:num>
  <w:num w:numId="3" w16cid:durableId="1102264867">
    <w:abstractNumId w:val="20"/>
  </w:num>
  <w:num w:numId="4" w16cid:durableId="1942840023">
    <w:abstractNumId w:val="23"/>
  </w:num>
  <w:num w:numId="5" w16cid:durableId="2137748763">
    <w:abstractNumId w:val="7"/>
  </w:num>
  <w:num w:numId="6" w16cid:durableId="1830826385">
    <w:abstractNumId w:val="9"/>
  </w:num>
  <w:num w:numId="7" w16cid:durableId="1331250162">
    <w:abstractNumId w:val="0"/>
  </w:num>
  <w:num w:numId="8" w16cid:durableId="5594122">
    <w:abstractNumId w:val="2"/>
  </w:num>
  <w:num w:numId="9" w16cid:durableId="1004405411">
    <w:abstractNumId w:val="11"/>
  </w:num>
  <w:num w:numId="10" w16cid:durableId="668107">
    <w:abstractNumId w:val="18"/>
  </w:num>
  <w:num w:numId="11" w16cid:durableId="71312108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46202539">
    <w:abstractNumId w:val="2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73690526">
    <w:abstractNumId w:val="2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634628385">
    <w:abstractNumId w:val="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251351147">
    <w:abstractNumId w:val="19"/>
    <w:lvlOverride w:ilvl="0">
      <w:startOverride w:val="4"/>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3423937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24236580">
    <w:abstractNumId w:val="1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3216435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981695063">
    <w:abstractNumId w:val="10"/>
    <w:lvlOverride w:ilvl="0">
      <w:startOverride w:val="2"/>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89667084">
    <w:abstractNumId w:val="2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644048756">
    <w:abstractNumId w:val="14"/>
    <w:lvlOverride w:ilvl="0">
      <w:startOverride w:val="3"/>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6863685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043671573">
    <w:abstractNumId w:val="1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327854089">
    <w:abstractNumId w:val="17"/>
  </w:num>
  <w:num w:numId="25" w16cid:durableId="164214804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41B9"/>
    <w:rsid w:val="00000E84"/>
    <w:rsid w:val="0001751E"/>
    <w:rsid w:val="00025F89"/>
    <w:rsid w:val="000456BE"/>
    <w:rsid w:val="00045E0E"/>
    <w:rsid w:val="00072D1E"/>
    <w:rsid w:val="00080FAC"/>
    <w:rsid w:val="000C2934"/>
    <w:rsid w:val="000C3F70"/>
    <w:rsid w:val="000C4EC9"/>
    <w:rsid w:val="000D14D2"/>
    <w:rsid w:val="000F0C38"/>
    <w:rsid w:val="000F11BD"/>
    <w:rsid w:val="000F5DDF"/>
    <w:rsid w:val="001150B2"/>
    <w:rsid w:val="0013221B"/>
    <w:rsid w:val="00142930"/>
    <w:rsid w:val="00160C9F"/>
    <w:rsid w:val="0016312C"/>
    <w:rsid w:val="00164376"/>
    <w:rsid w:val="001A7F34"/>
    <w:rsid w:val="001B0729"/>
    <w:rsid w:val="001B1974"/>
    <w:rsid w:val="001B246B"/>
    <w:rsid w:val="001D493E"/>
    <w:rsid w:val="001E19CC"/>
    <w:rsid w:val="001F6E75"/>
    <w:rsid w:val="0021095C"/>
    <w:rsid w:val="002201CC"/>
    <w:rsid w:val="00235ED0"/>
    <w:rsid w:val="0024220E"/>
    <w:rsid w:val="00256E38"/>
    <w:rsid w:val="00265771"/>
    <w:rsid w:val="0027654C"/>
    <w:rsid w:val="002871ED"/>
    <w:rsid w:val="002A4A5E"/>
    <w:rsid w:val="002C5529"/>
    <w:rsid w:val="002D6A2D"/>
    <w:rsid w:val="002E67D0"/>
    <w:rsid w:val="002F3518"/>
    <w:rsid w:val="002F7BCF"/>
    <w:rsid w:val="0034080A"/>
    <w:rsid w:val="00345E4C"/>
    <w:rsid w:val="00352C3B"/>
    <w:rsid w:val="003676FE"/>
    <w:rsid w:val="00390D1F"/>
    <w:rsid w:val="003C0EF9"/>
    <w:rsid w:val="003C2EFC"/>
    <w:rsid w:val="003E0B57"/>
    <w:rsid w:val="003E7D01"/>
    <w:rsid w:val="00407F0D"/>
    <w:rsid w:val="0041115D"/>
    <w:rsid w:val="00420800"/>
    <w:rsid w:val="00432536"/>
    <w:rsid w:val="00433631"/>
    <w:rsid w:val="00435A57"/>
    <w:rsid w:val="00464D25"/>
    <w:rsid w:val="00470719"/>
    <w:rsid w:val="004A3E05"/>
    <w:rsid w:val="004B61A3"/>
    <w:rsid w:val="004F772E"/>
    <w:rsid w:val="00503BFD"/>
    <w:rsid w:val="005171E0"/>
    <w:rsid w:val="0053260D"/>
    <w:rsid w:val="00544BCA"/>
    <w:rsid w:val="005545E0"/>
    <w:rsid w:val="0057253D"/>
    <w:rsid w:val="0057480E"/>
    <w:rsid w:val="00581412"/>
    <w:rsid w:val="005D0A40"/>
    <w:rsid w:val="005D7D8C"/>
    <w:rsid w:val="005F4BEA"/>
    <w:rsid w:val="005F55E9"/>
    <w:rsid w:val="006124C7"/>
    <w:rsid w:val="006248CA"/>
    <w:rsid w:val="00646ADE"/>
    <w:rsid w:val="00653A6B"/>
    <w:rsid w:val="00661963"/>
    <w:rsid w:val="006659FC"/>
    <w:rsid w:val="00691644"/>
    <w:rsid w:val="0069671B"/>
    <w:rsid w:val="006C0576"/>
    <w:rsid w:val="006C37ED"/>
    <w:rsid w:val="006D5BAB"/>
    <w:rsid w:val="006E0A9E"/>
    <w:rsid w:val="006E6694"/>
    <w:rsid w:val="00721983"/>
    <w:rsid w:val="0073166B"/>
    <w:rsid w:val="00735116"/>
    <w:rsid w:val="007358F9"/>
    <w:rsid w:val="00737F0F"/>
    <w:rsid w:val="00751E37"/>
    <w:rsid w:val="00771214"/>
    <w:rsid w:val="007750CB"/>
    <w:rsid w:val="00775A96"/>
    <w:rsid w:val="007773C4"/>
    <w:rsid w:val="00794531"/>
    <w:rsid w:val="007A4867"/>
    <w:rsid w:val="007D589D"/>
    <w:rsid w:val="007E7FC8"/>
    <w:rsid w:val="00812916"/>
    <w:rsid w:val="0083308F"/>
    <w:rsid w:val="008419EC"/>
    <w:rsid w:val="008522D2"/>
    <w:rsid w:val="008604D4"/>
    <w:rsid w:val="0087448F"/>
    <w:rsid w:val="008A2643"/>
    <w:rsid w:val="008D1745"/>
    <w:rsid w:val="008D45C9"/>
    <w:rsid w:val="008E16D9"/>
    <w:rsid w:val="008E6478"/>
    <w:rsid w:val="00901F63"/>
    <w:rsid w:val="00903C6C"/>
    <w:rsid w:val="009231C8"/>
    <w:rsid w:val="00930685"/>
    <w:rsid w:val="00961EB9"/>
    <w:rsid w:val="00974AC3"/>
    <w:rsid w:val="00982DA4"/>
    <w:rsid w:val="009B4420"/>
    <w:rsid w:val="009E059B"/>
    <w:rsid w:val="009E52B0"/>
    <w:rsid w:val="009E71FA"/>
    <w:rsid w:val="009F6C2E"/>
    <w:rsid w:val="00A118EE"/>
    <w:rsid w:val="00A1259B"/>
    <w:rsid w:val="00A27319"/>
    <w:rsid w:val="00A4553F"/>
    <w:rsid w:val="00A51ABC"/>
    <w:rsid w:val="00A652C1"/>
    <w:rsid w:val="00A85DE3"/>
    <w:rsid w:val="00AE20E3"/>
    <w:rsid w:val="00AE3334"/>
    <w:rsid w:val="00AE535C"/>
    <w:rsid w:val="00AF38DC"/>
    <w:rsid w:val="00B071DE"/>
    <w:rsid w:val="00B107A9"/>
    <w:rsid w:val="00B1261F"/>
    <w:rsid w:val="00B16E3D"/>
    <w:rsid w:val="00B1783D"/>
    <w:rsid w:val="00B256B5"/>
    <w:rsid w:val="00B34B31"/>
    <w:rsid w:val="00B9291B"/>
    <w:rsid w:val="00B954CB"/>
    <w:rsid w:val="00BA0793"/>
    <w:rsid w:val="00BA16C2"/>
    <w:rsid w:val="00BD41B9"/>
    <w:rsid w:val="00BD5094"/>
    <w:rsid w:val="00C10BFD"/>
    <w:rsid w:val="00C14B8B"/>
    <w:rsid w:val="00C252BC"/>
    <w:rsid w:val="00C32A88"/>
    <w:rsid w:val="00C63CA1"/>
    <w:rsid w:val="00C652BF"/>
    <w:rsid w:val="00C661D7"/>
    <w:rsid w:val="00C7103B"/>
    <w:rsid w:val="00C76C3A"/>
    <w:rsid w:val="00C77C6A"/>
    <w:rsid w:val="00C91A0A"/>
    <w:rsid w:val="00CA02E3"/>
    <w:rsid w:val="00CB488B"/>
    <w:rsid w:val="00CC20BC"/>
    <w:rsid w:val="00CC23DB"/>
    <w:rsid w:val="00CD323D"/>
    <w:rsid w:val="00CD51DE"/>
    <w:rsid w:val="00CE468D"/>
    <w:rsid w:val="00CF685A"/>
    <w:rsid w:val="00D04A02"/>
    <w:rsid w:val="00D2327D"/>
    <w:rsid w:val="00D5117F"/>
    <w:rsid w:val="00D53491"/>
    <w:rsid w:val="00D60AEB"/>
    <w:rsid w:val="00D7515C"/>
    <w:rsid w:val="00D81BF4"/>
    <w:rsid w:val="00D9105C"/>
    <w:rsid w:val="00DC51D3"/>
    <w:rsid w:val="00DC717D"/>
    <w:rsid w:val="00DE64A9"/>
    <w:rsid w:val="00E05CB3"/>
    <w:rsid w:val="00E350E9"/>
    <w:rsid w:val="00E52325"/>
    <w:rsid w:val="00E654DC"/>
    <w:rsid w:val="00E66F0D"/>
    <w:rsid w:val="00E72AEB"/>
    <w:rsid w:val="00E83257"/>
    <w:rsid w:val="00EA08BB"/>
    <w:rsid w:val="00EA559F"/>
    <w:rsid w:val="00EC0479"/>
    <w:rsid w:val="00ED280A"/>
    <w:rsid w:val="00EE1018"/>
    <w:rsid w:val="00F21283"/>
    <w:rsid w:val="00F24078"/>
    <w:rsid w:val="00F32A1C"/>
    <w:rsid w:val="00F376C2"/>
    <w:rsid w:val="00F6312E"/>
    <w:rsid w:val="00F6612F"/>
    <w:rsid w:val="00F83470"/>
    <w:rsid w:val="00F87D7C"/>
    <w:rsid w:val="00FA46C8"/>
    <w:rsid w:val="00FB57A0"/>
    <w:rsid w:val="00FD1D6A"/>
    <w:rsid w:val="00FE2D8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A1E60C"/>
  <w15:chartTrackingRefBased/>
  <w15:docId w15:val="{55C61AA0-E208-4DB9-B3A0-84A5C92EB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kern w:val="2"/>
        <w:lang w:val="el-GR" w:eastAsia="el-GR" w:bidi="ar-SA"/>
        <w14:ligatures w14:val="standardContextua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BD41B9"/>
    <w:rPr>
      <w:rFonts w:asciiTheme="minorHAnsi" w:eastAsiaTheme="minorEastAsia" w:hAnsiTheme="minorHAnsi" w:cstheme="minorBidi"/>
      <w:kern w:val="0"/>
      <w:sz w:val="22"/>
      <w:szCs w:val="22"/>
      <w:lang w:val="en-US" w:eastAsia="en-US"/>
      <w14:ligatures w14:val="none"/>
    </w:rPr>
  </w:style>
  <w:style w:type="character" w:customStyle="1" w:styleId="Char">
    <w:name w:val="Χωρίς διάστιχο Char"/>
    <w:basedOn w:val="a0"/>
    <w:link w:val="a3"/>
    <w:uiPriority w:val="1"/>
    <w:rsid w:val="00BD41B9"/>
    <w:rPr>
      <w:rFonts w:asciiTheme="minorHAnsi" w:eastAsiaTheme="minorEastAsia" w:hAnsiTheme="minorHAnsi" w:cstheme="minorBidi"/>
      <w:kern w:val="0"/>
      <w:sz w:val="22"/>
      <w:szCs w:val="22"/>
      <w:lang w:val="en-US" w:eastAsia="en-US"/>
      <w14:ligatures w14:val="none"/>
    </w:rPr>
  </w:style>
  <w:style w:type="paragraph" w:styleId="a4">
    <w:name w:val="header"/>
    <w:basedOn w:val="a"/>
    <w:link w:val="Char0"/>
    <w:rsid w:val="00BD41B9"/>
    <w:pPr>
      <w:tabs>
        <w:tab w:val="center" w:pos="4153"/>
        <w:tab w:val="right" w:pos="8306"/>
      </w:tabs>
    </w:pPr>
  </w:style>
  <w:style w:type="character" w:customStyle="1" w:styleId="Char0">
    <w:name w:val="Κεφαλίδα Char"/>
    <w:basedOn w:val="a0"/>
    <w:link w:val="a4"/>
    <w:rsid w:val="00BD41B9"/>
    <w:rPr>
      <w:sz w:val="24"/>
      <w:szCs w:val="24"/>
    </w:rPr>
  </w:style>
  <w:style w:type="paragraph" w:styleId="a5">
    <w:name w:val="footer"/>
    <w:basedOn w:val="a"/>
    <w:link w:val="Char1"/>
    <w:rsid w:val="00BD41B9"/>
    <w:pPr>
      <w:tabs>
        <w:tab w:val="center" w:pos="4153"/>
        <w:tab w:val="right" w:pos="8306"/>
      </w:tabs>
    </w:pPr>
  </w:style>
  <w:style w:type="character" w:customStyle="1" w:styleId="Char1">
    <w:name w:val="Υποσέλιδο Char"/>
    <w:basedOn w:val="a0"/>
    <w:link w:val="a5"/>
    <w:rsid w:val="00BD41B9"/>
    <w:rPr>
      <w:sz w:val="24"/>
      <w:szCs w:val="24"/>
    </w:rPr>
  </w:style>
  <w:style w:type="character" w:styleId="-">
    <w:name w:val="Hyperlink"/>
    <w:basedOn w:val="a0"/>
    <w:rsid w:val="009B4420"/>
    <w:rPr>
      <w:color w:val="0563C1" w:themeColor="hyperlink"/>
      <w:u w:val="single"/>
    </w:rPr>
  </w:style>
  <w:style w:type="character" w:styleId="a6">
    <w:name w:val="Unresolved Mention"/>
    <w:basedOn w:val="a0"/>
    <w:uiPriority w:val="99"/>
    <w:semiHidden/>
    <w:unhideWhenUsed/>
    <w:rsid w:val="009B4420"/>
    <w:rPr>
      <w:color w:val="605E5C"/>
      <w:shd w:val="clear" w:color="auto" w:fill="E1DFDD"/>
    </w:rPr>
  </w:style>
  <w:style w:type="character" w:styleId="-0">
    <w:name w:val="FollowedHyperlink"/>
    <w:basedOn w:val="a0"/>
    <w:rsid w:val="00CD51DE"/>
    <w:rPr>
      <w:color w:val="954F72" w:themeColor="followedHyperlink"/>
      <w:u w:val="single"/>
    </w:rPr>
  </w:style>
  <w:style w:type="table" w:styleId="a7">
    <w:name w:val="Table Grid"/>
    <w:basedOn w:val="a1"/>
    <w:uiPriority w:val="59"/>
    <w:rsid w:val="00F212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F21283"/>
    <w:pPr>
      <w:ind w:left="720"/>
      <w:contextualSpacing/>
    </w:pPr>
  </w:style>
  <w:style w:type="paragraph" w:styleId="a9">
    <w:name w:val="footnote text"/>
    <w:basedOn w:val="a"/>
    <w:link w:val="Char2"/>
    <w:uiPriority w:val="99"/>
    <w:unhideWhenUsed/>
    <w:rsid w:val="0013221B"/>
    <w:rPr>
      <w:rFonts w:asciiTheme="minorHAnsi" w:eastAsiaTheme="minorHAnsi" w:hAnsiTheme="minorHAnsi" w:cstheme="minorBidi"/>
      <w:sz w:val="20"/>
      <w:szCs w:val="20"/>
      <w:lang w:val="en-US" w:eastAsia="en-US"/>
    </w:rPr>
  </w:style>
  <w:style w:type="character" w:customStyle="1" w:styleId="Char2">
    <w:name w:val="Κείμενο υποσημείωσης Char"/>
    <w:basedOn w:val="a0"/>
    <w:link w:val="a9"/>
    <w:uiPriority w:val="99"/>
    <w:rsid w:val="0013221B"/>
    <w:rPr>
      <w:rFonts w:asciiTheme="minorHAnsi" w:eastAsiaTheme="minorHAnsi" w:hAnsiTheme="minorHAnsi" w:cstheme="minorBidi"/>
      <w:lang w:val="en-US" w:eastAsia="en-US"/>
    </w:rPr>
  </w:style>
  <w:style w:type="character" w:styleId="aa">
    <w:name w:val="footnote reference"/>
    <w:basedOn w:val="a0"/>
    <w:uiPriority w:val="99"/>
    <w:unhideWhenUsed/>
    <w:rsid w:val="0013221B"/>
    <w:rPr>
      <w:vertAlign w:val="superscript"/>
    </w:rPr>
  </w:style>
  <w:style w:type="character" w:styleId="ab">
    <w:name w:val="Strong"/>
    <w:basedOn w:val="a0"/>
    <w:uiPriority w:val="22"/>
    <w:qFormat/>
    <w:rsid w:val="00DE64A9"/>
    <w:rPr>
      <w:b/>
      <w:bCs/>
    </w:rPr>
  </w:style>
  <w:style w:type="paragraph" w:customStyle="1" w:styleId="wyq050---odeljak">
    <w:name w:val="wyq050---odeljak"/>
    <w:basedOn w:val="a"/>
    <w:rsid w:val="00DE64A9"/>
    <w:pPr>
      <w:spacing w:before="100" w:beforeAutospacing="1" w:after="100" w:afterAutospacing="1"/>
    </w:pPr>
    <w:rPr>
      <w:kern w:val="0"/>
      <w:lang w:val="en-US" w:eastAsia="en-US"/>
      <w14:ligatures w14:val="none"/>
    </w:rPr>
  </w:style>
  <w:style w:type="paragraph" w:styleId="ac">
    <w:name w:val="Revision"/>
    <w:hidden/>
    <w:uiPriority w:val="99"/>
    <w:semiHidden/>
    <w:rsid w:val="00A1259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7715634">
      <w:bodyDiv w:val="1"/>
      <w:marLeft w:val="0"/>
      <w:marRight w:val="0"/>
      <w:marTop w:val="0"/>
      <w:marBottom w:val="0"/>
      <w:divBdr>
        <w:top w:val="none" w:sz="0" w:space="0" w:color="auto"/>
        <w:left w:val="none" w:sz="0" w:space="0" w:color="auto"/>
        <w:bottom w:val="none" w:sz="0" w:space="0" w:color="auto"/>
        <w:right w:val="none" w:sz="0" w:space="0" w:color="auto"/>
      </w:divBdr>
    </w:div>
    <w:div w:id="1982074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jpeg"/><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company/rokas-law-fir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roka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B5859CAB6A1D64181E48CF43990205C" ma:contentTypeVersion="19" ma:contentTypeDescription="Create a new document." ma:contentTypeScope="" ma:versionID="0d2d2b0538640c7362ad6c055748919e">
  <xsd:schema xmlns:xsd="http://www.w3.org/2001/XMLSchema" xmlns:xs="http://www.w3.org/2001/XMLSchema" xmlns:p="http://schemas.microsoft.com/office/2006/metadata/properties" xmlns:ns2="07373808-a26f-42a8-b3eb-fd017e1d72fe" xmlns:ns3="aba4ebed-5601-469d-a03b-67b9039d1904" targetNamespace="http://schemas.microsoft.com/office/2006/metadata/properties" ma:root="true" ma:fieldsID="d63ce142b00fe015fafd2edfe03f777f" ns2:_="" ns3:_="">
    <xsd:import namespace="07373808-a26f-42a8-b3eb-fd017e1d72fe"/>
    <xsd:import namespace="aba4ebed-5601-469d-a03b-67b9039d190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LengthInSecond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2:SharedWithUsers" minOccurs="0"/>
                <xsd:element ref="ns2:SharedWithDetails" minOccurs="0"/>
                <xsd:element ref="ns3:MediaServiceAutoKeyPoints" minOccurs="0"/>
                <xsd:element ref="ns3:MediaServiceKeyPoint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373808-a26f-42a8-b3eb-fd017e1d72f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cd39218f-c314-4a67-9eae-8918b2c4bb33}" ma:internalName="TaxCatchAll" ma:showField="CatchAllData" ma:web="07373808-a26f-42a8-b3eb-fd017e1d72f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ba4ebed-5601-469d-a03b-67b9039d190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LengthInSeconds" ma:index="13" nillable="true" ma:displayName="Length (seconds)" ma:internalName="MediaLengthInSeconds" ma:readOnly="true">
      <xsd:simpleType>
        <xsd:restriction base="dms:Unknow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ServiceLocation" ma:index="23" nillable="true" ma:displayName="Location" ma:internalName="MediaServiceLocation" ma:readOnly="true">
      <xsd:simpleType>
        <xsd:restriction base="dms:Text"/>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a0ddb97d-2ec1-458b-9b21-9662d64b0a1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07373808-a26f-42a8-b3eb-fd017e1d72fe">6WNPX6TT7VPV-1664350215-463950</_dlc_DocId>
    <_dlc_DocIdUrl xmlns="07373808-a26f-42a8-b3eb-fd017e1d72fe">
      <Url>https://rokaslaw.sharepoint.com/sites/commonfiles/_layouts/15/DocIdRedir.aspx?ID=6WNPX6TT7VPV-1664350215-463950</Url>
      <Description>6WNPX6TT7VPV-1664350215-463950</Description>
    </_dlc_DocIdUrl>
    <lcf76f155ced4ddcb4097134ff3c332f xmlns="aba4ebed-5601-469d-a03b-67b9039d1904">
      <Terms xmlns="http://schemas.microsoft.com/office/infopath/2007/PartnerControls"/>
    </lcf76f155ced4ddcb4097134ff3c332f>
    <TaxCatchAll xmlns="07373808-a26f-42a8-b3eb-fd017e1d72f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EBAD0830-1F4C-4172-A00B-4E3902601C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373808-a26f-42a8-b3eb-fd017e1d72fe"/>
    <ds:schemaRef ds:uri="aba4ebed-5601-469d-a03b-67b9039d19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1204171-283A-462C-83AB-15F056FCEFC6}">
  <ds:schemaRefs>
    <ds:schemaRef ds:uri="http://schemas.microsoft.com/office/2006/metadata/properties"/>
    <ds:schemaRef ds:uri="http://schemas.microsoft.com/office/infopath/2007/PartnerControls"/>
    <ds:schemaRef ds:uri="07373808-a26f-42a8-b3eb-fd017e1d72fe"/>
    <ds:schemaRef ds:uri="aba4ebed-5601-469d-a03b-67b9039d1904"/>
  </ds:schemaRefs>
</ds:datastoreItem>
</file>

<file path=customXml/itemProps3.xml><?xml version="1.0" encoding="utf-8"?>
<ds:datastoreItem xmlns:ds="http://schemas.openxmlformats.org/officeDocument/2006/customXml" ds:itemID="{C6237591-6472-4F66-B23F-91E78AA716CD}">
  <ds:schemaRefs>
    <ds:schemaRef ds:uri="http://schemas.microsoft.com/sharepoint/v3/contenttype/forms"/>
  </ds:schemaRefs>
</ds:datastoreItem>
</file>

<file path=customXml/itemProps4.xml><?xml version="1.0" encoding="utf-8"?>
<ds:datastoreItem xmlns:ds="http://schemas.openxmlformats.org/officeDocument/2006/customXml" ds:itemID="{428D83E3-776D-43ED-9273-73927AF8120A}">
  <ds:schemaRefs>
    <ds:schemaRef ds:uri="http://schemas.openxmlformats.org/officeDocument/2006/bibliography"/>
  </ds:schemaRefs>
</ds:datastoreItem>
</file>

<file path=customXml/itemProps5.xml><?xml version="1.0" encoding="utf-8"?>
<ds:datastoreItem xmlns:ds="http://schemas.openxmlformats.org/officeDocument/2006/customXml" ds:itemID="{39163767-0F5B-4608-868B-99CB101F109A}">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1688</Words>
  <Characters>9116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ROKAS</vt:lpstr>
    </vt:vector>
  </TitlesOfParts>
  <Company/>
  <LinksUpToDate>false</LinksUpToDate>
  <CharactersWithSpaces>10783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ROKAS</dc:title>
  <dc:subject>Articles for Lexology</dc:subject>
  <dc:creator>Valia Masoura</dc:creator>
  <cp:keywords/>
  <dc:description/>
  <cp:lastModifiedBy>RLF</cp:lastModifiedBy>
  <cp:revision>5</cp:revision>
  <cp:lastPrinted>2024-12-13T13:42:00Z</cp:lastPrinted>
  <dcterms:created xsi:type="dcterms:W3CDTF">2025-10-29T11:01:00Z</dcterms:created>
  <dcterms:modified xsi:type="dcterms:W3CDTF">2025-10-29T11:05:00Z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f14f7e4e-8f47-4a55-8240-222a80706cc1</vt:lpwstr>
  </property>
  <property fmtid="{D5CDD505-2E9C-101B-9397-08002B2CF9AE}" pid="3" name="ContentTypeId">
    <vt:lpwstr>0x010100AB5859CAB6A1D64181E48CF43990205C</vt:lpwstr>
  </property>
  <property fmtid="{D5CDD505-2E9C-101B-9397-08002B2CF9AE}" pid="4" name="_dlc_DocIdItemGuid">
    <vt:lpwstr>6a8e0f06-bd0f-402e-a448-7638d1041e35</vt:lpwstr>
  </property>
</Properties>
</file>