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lang w:val="en-GB"/>
        </w:rPr>
        <w:id w:val="1667745439"/>
        <w:docPartObj>
          <w:docPartGallery w:val="Cover Pages"/>
          <w:docPartUnique/>
        </w:docPartObj>
      </w:sdtPr>
      <w:sdtContent>
        <w:p w14:paraId="185FB065" w14:textId="74350956" w:rsidR="00BD41B9" w:rsidRPr="00BC3D55" w:rsidRDefault="00BD41B9">
          <w:pPr>
            <w:rPr>
              <w:lang w:val="en-GB"/>
            </w:rPr>
          </w:pPr>
          <w:r w:rsidRPr="00BC3D55">
            <w:rPr>
              <w:lang w:val="en-GB"/>
            </w:rPr>
            <mc:AlternateContent>
              <mc:Choice Requires="wpg">
                <w:drawing>
                  <wp:anchor distT="0" distB="0" distL="114300" distR="114300" simplePos="0" relativeHeight="251659264" behindDoc="1" locked="0" layoutInCell="1" allowOverlap="1" wp14:anchorId="29FED947" wp14:editId="30E23051">
                    <wp:simplePos x="0" y="0"/>
                    <wp:positionH relativeFrom="page">
                      <wp:align>center</wp:align>
                    </wp:positionH>
                    <wp:positionV relativeFrom="page">
                      <wp:align>center</wp:align>
                    </wp:positionV>
                    <wp:extent cx="6858000" cy="9144000"/>
                    <wp:effectExtent l="0" t="0" r="2540" b="635"/>
                    <wp:wrapNone/>
                    <wp:docPr id="48" name="Group 14"/>
                    <wp:cNvGraphicFramePr/>
                    <a:graphic xmlns:a="http://schemas.openxmlformats.org/drawingml/2006/main">
                      <a:graphicData uri="http://schemas.microsoft.com/office/word/2010/wordprocessingGroup">
                        <wpg:wgp>
                          <wpg:cNvGrpSpPr/>
                          <wpg:grpSpPr>
                            <a:xfrm>
                              <a:off x="0" y="0"/>
                              <a:ext cx="6858000" cy="9144000"/>
                              <a:chOff x="0" y="0"/>
                              <a:chExt cx="6858000" cy="9144000"/>
                            </a:xfrm>
                          </wpg:grpSpPr>
                          <wpg:grpSp>
                            <wpg:cNvPr id="49" name="Group 49"/>
                            <wpg:cNvGrpSpPr/>
                            <wpg:grpSpPr>
                              <a:xfrm>
                                <a:off x="0" y="0"/>
                                <a:ext cx="6858000" cy="9144000"/>
                                <a:chOff x="0" y="0"/>
                                <a:chExt cx="6858000" cy="9144000"/>
                              </a:xfrm>
                            </wpg:grpSpPr>
                            <wps:wsp>
                              <wps:cNvPr id="54" name="Rectangle 54"/>
                              <wps:cNvSpPr/>
                              <wps:spPr>
                                <a:xfrm>
                                  <a:off x="0" y="0"/>
                                  <a:ext cx="6858000" cy="9144000"/>
                                </a:xfrm>
                                <a:prstGeom prst="rect">
                                  <a:avLst/>
                                </a:prstGeom>
                                <a:gradFill>
                                  <a:gsLst>
                                    <a:gs pos="10000">
                                      <a:schemeClr val="dk2">
                                        <a:tint val="97000"/>
                                        <a:hueMod val="92000"/>
                                        <a:satMod val="169000"/>
                                        <a:lumMod val="164000"/>
                                      </a:schemeClr>
                                    </a:gs>
                                    <a:gs pos="100000">
                                      <a:schemeClr val="dk2">
                                        <a:shade val="96000"/>
                                        <a:satMod val="120000"/>
                                        <a:lumMod val="90000"/>
                                      </a:schemeClr>
                                    </a:gs>
                                  </a:gsLst>
                                  <a:lin ang="6120000" scaled="1"/>
                                </a:gradFill>
                                <a:ln>
                                  <a:noFill/>
                                </a:ln>
                              </wps:spPr>
                              <wps:style>
                                <a:lnRef idx="2">
                                  <a:schemeClr val="accent1">
                                    <a:shade val="50000"/>
                                  </a:schemeClr>
                                </a:lnRef>
                                <a:fillRef idx="1002">
                                  <a:schemeClr val="dk2"/>
                                </a:fillRef>
                                <a:effectRef idx="0">
                                  <a:schemeClr val="accent1"/>
                                </a:effectRef>
                                <a:fontRef idx="minor">
                                  <a:schemeClr val="lt1"/>
                                </a:fontRef>
                              </wps:style>
                              <wps:txbx>
                                <w:txbxContent>
                                  <w:p w14:paraId="2D1A5A57" w14:textId="77777777" w:rsidR="00BD41B9" w:rsidRDefault="00BD41B9">
                                    <w:pPr>
                                      <w:pStyle w:val="a3"/>
                                      <w:rPr>
                                        <w:color w:val="FFFFFF" w:themeColor="background1"/>
                                        <w:sz w:val="48"/>
                                        <w:szCs w:val="48"/>
                                      </w:rPr>
                                    </w:pPr>
                                  </w:p>
                                </w:txbxContent>
                              </wps:txbx>
                              <wps:bodyPr rot="0" spcFirstLastPara="0" vertOverflow="overflow" horzOverflow="overflow" vert="horz" wrap="square" lIns="685800" tIns="685800" rIns="914400" bIns="4572000" numCol="1" spcCol="0" rtlCol="0" fromWordArt="0" anchor="t" anchorCtr="0" forceAA="0" compatLnSpc="1">
                                <a:prstTxWarp prst="textNoShape">
                                  <a:avLst/>
                                </a:prstTxWarp>
                                <a:noAutofit/>
                              </wps:bodyPr>
                            </wps:wsp>
                            <wpg:grpSp>
                              <wpg:cNvPr id="55" name="Group 2"/>
                              <wpg:cNvGrpSpPr/>
                              <wpg:grpSpPr>
                                <a:xfrm>
                                  <a:off x="2524125" y="0"/>
                                  <a:ext cx="4329113" cy="4491038"/>
                                  <a:chOff x="0" y="0"/>
                                  <a:chExt cx="4329113" cy="4491038"/>
                                </a:xfrm>
                                <a:solidFill>
                                  <a:schemeClr val="bg1"/>
                                </a:solidFill>
                              </wpg:grpSpPr>
                              <wps:wsp>
                                <wps:cNvPr id="56" name="Freeform 56"/>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7" name="Freeform 57"/>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8" name="Freeform 58"/>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9" name="Freeform 59"/>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0" name="Freeform 60"/>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grpSp>
                          </wpg:grpSp>
                          <wps:wsp>
                            <wps:cNvPr id="61" name="Text Box 61"/>
                            <wps:cNvSpPr txBox="1"/>
                            <wps:spPr>
                              <a:xfrm>
                                <a:off x="9518" y="4838700"/>
                                <a:ext cx="6843395" cy="378975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FFFFFF" w:themeColor="background1"/>
                                      <w:sz w:val="64"/>
                                      <w:szCs w:val="64"/>
                                    </w:rPr>
                                    <w:alias w:val="Title"/>
                                    <w:tag w:val=""/>
                                    <w:id w:val="1841046763"/>
                                    <w:dataBinding w:prefixMappings="xmlns:ns0='http://purl.org/dc/elements/1.1/' xmlns:ns1='http://schemas.openxmlformats.org/package/2006/metadata/core-properties' " w:xpath="/ns1:coreProperties[1]/ns0:title[1]" w:storeItemID="{6C3C8BC8-F283-45AE-878A-BAB7291924A1}"/>
                                    <w:text/>
                                  </w:sdtPr>
                                  <w:sdtContent>
                                    <w:p w14:paraId="4E2F1589" w14:textId="6B4FB4BE" w:rsidR="00BD41B9" w:rsidRDefault="00BD41B9">
                                      <w:pPr>
                                        <w:pStyle w:val="a3"/>
                                        <w:rPr>
                                          <w:rFonts w:asciiTheme="majorHAnsi" w:eastAsiaTheme="majorEastAsia" w:hAnsiTheme="majorHAnsi" w:cstheme="majorBidi"/>
                                          <w:caps/>
                                          <w:color w:val="FFFFFF" w:themeColor="background1"/>
                                          <w:sz w:val="64"/>
                                          <w:szCs w:val="64"/>
                                        </w:rPr>
                                      </w:pPr>
                                      <w:r>
                                        <w:rPr>
                                          <w:rFonts w:asciiTheme="majorHAnsi" w:eastAsiaTheme="majorEastAsia" w:hAnsiTheme="majorHAnsi" w:cstheme="majorBidi"/>
                                          <w:caps/>
                                          <w:color w:val="FFFFFF" w:themeColor="background1"/>
                                          <w:sz w:val="64"/>
                                          <w:szCs w:val="64"/>
                                        </w:rPr>
                                        <w:t>ROKAS</w:t>
                                      </w:r>
                                    </w:p>
                                  </w:sdtContent>
                                </w:sdt>
                                <w:sdt>
                                  <w:sdtPr>
                                    <w:rPr>
                                      <w:color w:val="FFFFFF" w:themeColor="background1"/>
                                      <w:sz w:val="36"/>
                                      <w:szCs w:val="3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Content>
                                    <w:p w14:paraId="7F5A08C0" w14:textId="2787CFC0" w:rsidR="00BD41B9" w:rsidRPr="006C37ED" w:rsidRDefault="0016312C">
                                      <w:pPr>
                                        <w:pStyle w:val="a3"/>
                                        <w:spacing w:before="120"/>
                                        <w:rPr>
                                          <w:color w:val="FFFFFF" w:themeColor="background1"/>
                                          <w:sz w:val="36"/>
                                          <w:szCs w:val="36"/>
                                        </w:rPr>
                                      </w:pPr>
                                      <w:r>
                                        <w:rPr>
                                          <w:color w:val="FFFFFF" w:themeColor="background1"/>
                                          <w:sz w:val="36"/>
                                          <w:szCs w:val="36"/>
                                        </w:rPr>
                                        <w:t>Articles for Lexology</w:t>
                                      </w:r>
                                    </w:p>
                                  </w:sdtContent>
                                </w:sdt>
                              </w:txbxContent>
                            </wps:txbx>
                            <wps:bodyPr rot="0" spcFirstLastPara="0" vertOverflow="overflow" horzOverflow="overflow" vert="horz" wrap="square" lIns="685800" tIns="0" rIns="914400" bIns="0" numCol="1" spcCol="0" rtlCol="0" fromWordArt="0" anchor="b"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29FED947" id="Group 14" o:spid="_x0000_s1026" style="position:absolute;margin-left:0;margin-top:0;width:540pt;height:10in;z-index:-251657216;mso-width-percent:882;mso-height-percent:909;mso-position-horizontal:center;mso-position-horizontal-relative:page;mso-position-vertical:center;mso-position-vertical-relative:page;mso-width-percent:882;mso-height-percent:909"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">
                    <v:group id="Group 49" o:spid="_x0000_s1027" style="position:absolute;width:68580;height:91440" coordsize="68580,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rect id="Rectangle 54" o:spid="_x0000_s1028" style="position:absolute;width:68580;height:9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" fillcolor="#485870 [3122]" stroked="f" strokeweight="1pt">
                        <v:fill color2="#3d4b5f [2882]" angle="348" colors="0 #88acbb;6554f #88acbb" focus="100%" type="gradient"/>
                        <v:textbox inset="54pt,54pt,1in,5in">
                          <w:txbxContent>
                            <w:p w14:paraId="2D1A5A57" w14:textId="77777777" w:rsidR="00BD41B9" w:rsidRDefault="00BD41B9">
                              <w:pPr>
                                <w:pStyle w:val="a3"/>
                                <w:rPr>
                                  <w:color w:val="FFFFFF" w:themeColor="background1"/>
                                  <w:sz w:val="48"/>
                                  <w:szCs w:val="48"/>
                                </w:rPr>
                              </w:pPr>
                            </w:p>
                          </w:txbxContent>
                        </v:textbox>
                      </v:rect>
                      <v:group id="Group 2" o:spid="_x0000_s1029" style="position:absolute;left:25241;width:43291;height:44910" coordsize="43291,44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56" o:spid="_x0000_s1030"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" path="m4,1786l,1782,1776,r5,5l4,1786xe" filled="f" stroked="f">
                          <v:path arrowok="t" o:connecttype="custom" o:connectlocs="6350,2835275;0,2828925;2819400,0;2827338,7938;6350,2835275" o:connectangles="0,0,0,0,0"/>
                        </v:shape>
                        <v:shape id="Freeform 57" o:spid="_x0000_s1031"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" path="m5,2234l,2229,2229,r5,5l5,2234xe" filled="f" stroked="f">
                          <v:path arrowok="t" o:connecttype="custom" o:connectlocs="7938,3546475;0,3538538;3538538,0;3546475,7938;7938,3546475" o:connectangles="0,0,0,0,0"/>
                        </v:shape>
                        <v:shape id="Freeform 58" o:spid="_x0000_s1032"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" path="m9,2197l,2193,2188,r9,10l9,2197xe" filled="f" stroked="f">
                          <v:path arrowok="t" o:connecttype="custom" o:connectlocs="14288,3487738;0,3481388;3473450,0;3487738,15875;14288,3487738" o:connectangles="0,0,0,0,0"/>
                        </v:shape>
                        <v:shape id="Freeform 59" o:spid="_x0000_s1033"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" path="m9,1966l,1957,1952,r9,9l9,1966xe" filled="f" stroked="f">
                          <v:path arrowok="t" o:connecttype="custom" o:connectlocs="14288,3121025;0,3106738;3098800,0;3113088,14288;14288,3121025" o:connectangles="0,0,0,0,0"/>
                        </v:shape>
                        <v:shape id="Freeform 60" o:spid="_x0000_s1034"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" path="m,2732r,-4l2722,r5,5l,2732xe" filled="f" stroked="f">
                          <v:path arrowok="t" o:connecttype="custom" o:connectlocs="0,4337050;0,4330700;4321175,0;4329113,7938;0,4337050" o:connectangles="0,0,0,0,0"/>
                        </v:shape>
                      </v:group>
                    </v:group>
                    <v:shapetype id="_x0000_t202" coordsize="21600,21600" o:spt="202" path="m,l,21600r21600,l21600,xe">
                      <v:stroke joinstyle="miter"/>
                      <v:path gradientshapeok="t" o:connecttype="rect"/>
                    </v:shapetype>
                    <v:shape id="Text Box 61" o:spid="_x0000_s1035" type="#_x0000_t202" style="position:absolute;left:95;top:48387;width:68434;height:3789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" filled="f" stroked="f" strokeweight=".5pt">
                      <v:textbox inset="54pt,0,1in,0">
                        <w:txbxContent>
                          <w:sdt>
                            <w:sdtPr>
                              <w:rPr>
                                <w:rFonts w:asciiTheme="majorHAnsi" w:eastAsiaTheme="majorEastAsia" w:hAnsiTheme="majorHAnsi" w:cstheme="majorBidi"/>
                                <w:caps/>
                                <w:color w:val="FFFFFF" w:themeColor="background1"/>
                                <w:sz w:val="64"/>
                                <w:szCs w:val="64"/>
                              </w:rPr>
                              <w:alias w:val="Title"/>
                              <w:tag w:val=""/>
                              <w:id w:val="1841046763"/>
                              <w:dataBinding w:prefixMappings="xmlns:ns0='http://purl.org/dc/elements/1.1/' xmlns:ns1='http://schemas.openxmlformats.org/package/2006/metadata/core-properties' " w:xpath="/ns1:coreProperties[1]/ns0:title[1]" w:storeItemID="{6C3C8BC8-F283-45AE-878A-BAB7291924A1}"/>
                              <w:text/>
                            </w:sdtPr>
                            <w:sdtContent>
                              <w:p w14:paraId="4E2F1589" w14:textId="6B4FB4BE" w:rsidR="00BD41B9" w:rsidRDefault="00BD41B9">
                                <w:pPr>
                                  <w:pStyle w:val="a3"/>
                                  <w:rPr>
                                    <w:rFonts w:asciiTheme="majorHAnsi" w:eastAsiaTheme="majorEastAsia" w:hAnsiTheme="majorHAnsi" w:cstheme="majorBidi"/>
                                    <w:caps/>
                                    <w:color w:val="FFFFFF" w:themeColor="background1"/>
                                    <w:sz w:val="64"/>
                                    <w:szCs w:val="64"/>
                                  </w:rPr>
                                </w:pPr>
                                <w:r>
                                  <w:rPr>
                                    <w:rFonts w:asciiTheme="majorHAnsi" w:eastAsiaTheme="majorEastAsia" w:hAnsiTheme="majorHAnsi" w:cstheme="majorBidi"/>
                                    <w:caps/>
                                    <w:color w:val="FFFFFF" w:themeColor="background1"/>
                                    <w:sz w:val="64"/>
                                    <w:szCs w:val="64"/>
                                  </w:rPr>
                                  <w:t>ROKAS</w:t>
                                </w:r>
                              </w:p>
                            </w:sdtContent>
                          </w:sdt>
                          <w:sdt>
                            <w:sdtPr>
                              <w:rPr>
                                <w:color w:val="FFFFFF" w:themeColor="background1"/>
                                <w:sz w:val="36"/>
                                <w:szCs w:val="36"/>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Content>
                              <w:p w14:paraId="7F5A08C0" w14:textId="2787CFC0" w:rsidR="00BD41B9" w:rsidRPr="006C37ED" w:rsidRDefault="0016312C">
                                <w:pPr>
                                  <w:pStyle w:val="a3"/>
                                  <w:spacing w:before="120"/>
                                  <w:rPr>
                                    <w:color w:val="FFFFFF" w:themeColor="background1"/>
                                    <w:sz w:val="36"/>
                                    <w:szCs w:val="36"/>
                                  </w:rPr>
                                </w:pPr>
                                <w:r>
                                  <w:rPr>
                                    <w:color w:val="FFFFFF" w:themeColor="background1"/>
                                    <w:sz w:val="36"/>
                                    <w:szCs w:val="36"/>
                                  </w:rPr>
                                  <w:t>Articles for Lexology</w:t>
                                </w:r>
                              </w:p>
                            </w:sdtContent>
                          </w:sdt>
                        </w:txbxContent>
                      </v:textbox>
                    </v:shape>
                    <w10:wrap anchorx="page" anchory="page"/>
                  </v:group>
                </w:pict>
              </mc:Fallback>
            </mc:AlternateContent>
          </w:r>
        </w:p>
        <w:p w14:paraId="5452FFCD" w14:textId="70645DC1" w:rsidR="00BD41B9" w:rsidRPr="00BC3D55" w:rsidRDefault="00BD41B9">
          <w:pPr>
            <w:rPr>
              <w:lang w:val="en-GB"/>
            </w:rPr>
          </w:pPr>
          <w:r w:rsidRPr="00BC3D55">
            <w:rPr>
              <w:lang w:val="en-GB"/>
            </w:rPr>
            <w:br w:type="page"/>
          </w:r>
        </w:p>
      </w:sdtContent>
    </w:sdt>
    <w:p w14:paraId="79791DE1" w14:textId="2B1ED9CB" w:rsidR="00982DA4" w:rsidRPr="00BC3D55" w:rsidRDefault="00982DA4" w:rsidP="00982DA4">
      <w:pPr>
        <w:pStyle w:val="a5"/>
        <w:rPr>
          <w:lang w:val="en-GB"/>
        </w:rPr>
      </w:pPr>
      <w:r w:rsidRPr="00BC3D55">
        <w:rPr>
          <w:lang w:val="en-GB"/>
        </w:rPr>
        <w:lastRenderedPageBreak/>
        <w:tab/>
      </w:r>
    </w:p>
    <w:p w14:paraId="645B4411" w14:textId="1C8FC075" w:rsidR="0057253D" w:rsidRPr="00BC3D55" w:rsidRDefault="00982DA4" w:rsidP="00CC23DB">
      <w:pPr>
        <w:ind w:left="5040" w:firstLine="720"/>
        <w:rPr>
          <w:lang w:val="en-GB"/>
        </w:rPr>
      </w:pPr>
      <w:r w:rsidRPr="00BC3D55">
        <w:rPr>
          <w:rFonts w:asciiTheme="minorHAnsi" w:hAnsiTheme="minorHAnsi" w:cstheme="minorHAnsi"/>
          <w:lang w:val="en-GB"/>
        </w:rPr>
        <w:t xml:space="preserve">Date: </w:t>
      </w:r>
      <w:r w:rsidR="002C5529" w:rsidRPr="00BC3D55">
        <w:rPr>
          <w:rFonts w:asciiTheme="minorHAnsi" w:hAnsiTheme="minorHAnsi" w:cstheme="minorHAnsi"/>
          <w:lang w:val="en-GB"/>
        </w:rPr>
        <w:t>04/</w:t>
      </w:r>
      <w:r w:rsidR="00DE5DF9" w:rsidRPr="00BC3D55">
        <w:rPr>
          <w:rFonts w:asciiTheme="minorHAnsi" w:hAnsiTheme="minorHAnsi" w:cstheme="minorHAnsi"/>
          <w:lang w:val="en-GB"/>
        </w:rPr>
        <w:t>11</w:t>
      </w:r>
      <w:r w:rsidR="002C5529" w:rsidRPr="00BC3D55">
        <w:rPr>
          <w:rFonts w:asciiTheme="minorHAnsi" w:hAnsiTheme="minorHAnsi" w:cstheme="minorHAnsi"/>
          <w:lang w:val="en-GB"/>
        </w:rPr>
        <w:t>/2025</w:t>
      </w:r>
      <w:r w:rsidRPr="00BC3D55">
        <w:rPr>
          <w:lang w:val="en-GB"/>
        </w:rPr>
        <w:t xml:space="preserve">  </w:t>
      </w:r>
    </w:p>
    <w:p w14:paraId="1203988C" w14:textId="32A44E44" w:rsidR="00982DA4" w:rsidRPr="00BC3D55" w:rsidRDefault="00982DA4" w:rsidP="00CC23DB">
      <w:pPr>
        <w:ind w:left="5040" w:firstLine="720"/>
        <w:rPr>
          <w:lang w:val="en-GB"/>
        </w:rPr>
      </w:pPr>
      <w:r w:rsidRPr="00BC3D55">
        <w:rPr>
          <w:lang w:val="en-GB"/>
        </w:rPr>
        <w:t xml:space="preserve">                                                                                     </w:t>
      </w:r>
    </w:p>
    <w:p w14:paraId="69CB01C7" w14:textId="19D75285" w:rsidR="0057253D" w:rsidRPr="00BC3D55" w:rsidRDefault="00E72AEB" w:rsidP="0057253D">
      <w:pPr>
        <w:jc w:val="both"/>
        <w:rPr>
          <w:rFonts w:asciiTheme="minorHAnsi" w:hAnsiTheme="minorHAnsi" w:cstheme="minorHAnsi"/>
          <w:b/>
          <w:bCs/>
          <w:lang w:val="en-GB"/>
        </w:rPr>
      </w:pPr>
      <w:r w:rsidRPr="00BC3D55">
        <w:rPr>
          <w:rFonts w:asciiTheme="minorHAnsi" w:hAnsiTheme="minorHAnsi" w:cstheme="minorHAnsi"/>
          <w:b/>
          <w:bCs/>
          <w:lang w:val="en-GB"/>
        </w:rPr>
        <w:t xml:space="preserve">Topic: </w:t>
      </w:r>
      <w:r w:rsidR="0057253D" w:rsidRPr="00BC3D55">
        <w:rPr>
          <w:rFonts w:asciiTheme="minorHAnsi" w:hAnsiTheme="minorHAnsi" w:cstheme="minorHAnsi"/>
          <w:b/>
          <w:bCs/>
          <w:lang w:val="en-GB"/>
        </w:rPr>
        <w:t>“</w:t>
      </w:r>
      <w:r w:rsidR="00DE5DF9" w:rsidRPr="00BC3D55">
        <w:rPr>
          <w:rFonts w:asciiTheme="minorHAnsi" w:hAnsiTheme="minorHAnsi" w:cstheme="minorHAnsi"/>
          <w:b/>
          <w:bCs/>
          <w:lang w:val="en-GB"/>
        </w:rPr>
        <w:t>Hellenic Data Protection Authority fines Insurance Company for poor handling of customer data requests</w:t>
      </w:r>
      <w:r w:rsidR="0057253D" w:rsidRPr="00BC3D55">
        <w:rPr>
          <w:rFonts w:asciiTheme="minorHAnsi" w:hAnsiTheme="minorHAnsi" w:cstheme="minorHAnsi"/>
          <w:b/>
          <w:bCs/>
          <w:lang w:val="en-GB"/>
        </w:rPr>
        <w:t>”</w:t>
      </w:r>
    </w:p>
    <w:p w14:paraId="42B39F3D" w14:textId="4E7BE705" w:rsidR="00982DA4" w:rsidRPr="00BC3D55" w:rsidRDefault="00982DA4" w:rsidP="0057253D">
      <w:pPr>
        <w:pStyle w:val="a5"/>
        <w:jc w:val="center"/>
        <w:rPr>
          <w:lang w:val="en-GB"/>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58"/>
      </w:tblGrid>
      <w:tr w:rsidR="00BC3D55" w:rsidRPr="00BC3D55" w14:paraId="23A9C4D3" w14:textId="77777777" w:rsidTr="0024220E">
        <w:tc>
          <w:tcPr>
            <w:tcW w:w="4148" w:type="dxa"/>
          </w:tcPr>
          <w:p w14:paraId="166D7E7F" w14:textId="5FB72334" w:rsidR="00F21283" w:rsidRPr="00BC3D55" w:rsidRDefault="00F21283" w:rsidP="00F21283">
            <w:pPr>
              <w:rPr>
                <w:lang w:val="en-GB"/>
              </w:rPr>
            </w:pPr>
          </w:p>
        </w:tc>
        <w:tc>
          <w:tcPr>
            <w:tcW w:w="4158" w:type="dxa"/>
            <w:vMerge w:val="restart"/>
          </w:tcPr>
          <w:p w14:paraId="6F7D54EB" w14:textId="77777777" w:rsidR="001B246B" w:rsidRPr="00BC3D55" w:rsidRDefault="001B246B" w:rsidP="001B246B">
            <w:pPr>
              <w:jc w:val="center"/>
              <w:rPr>
                <w:rFonts w:asciiTheme="minorHAnsi" w:hAnsiTheme="minorHAnsi" w:cstheme="minorHAnsi"/>
                <w:lang w:val="en-GB"/>
              </w:rPr>
            </w:pPr>
          </w:p>
          <w:p w14:paraId="45E1C1E1" w14:textId="710C6734" w:rsidR="00F376C2" w:rsidRPr="00BC3D55" w:rsidRDefault="00F376C2" w:rsidP="001B246B">
            <w:pPr>
              <w:jc w:val="center"/>
              <w:rPr>
                <w:lang w:val="en-GB"/>
              </w:rPr>
            </w:pPr>
          </w:p>
          <w:p w14:paraId="2E9B2841" w14:textId="77777777" w:rsidR="00BC3D55" w:rsidRPr="00BC3D55" w:rsidRDefault="00BC3D55" w:rsidP="001B246B">
            <w:pPr>
              <w:jc w:val="center"/>
              <w:rPr>
                <w:lang w:val="en-GB"/>
              </w:rPr>
            </w:pPr>
          </w:p>
          <w:p w14:paraId="44C1E8BB" w14:textId="77777777" w:rsidR="00BC3D55" w:rsidRPr="00BC3D55" w:rsidRDefault="00BC3D55" w:rsidP="001B246B">
            <w:pPr>
              <w:jc w:val="center"/>
              <w:rPr>
                <w:lang w:val="en-GB"/>
              </w:rPr>
            </w:pPr>
          </w:p>
          <w:p w14:paraId="12D23601" w14:textId="77777777" w:rsidR="00B954CB" w:rsidRPr="00BC3D55" w:rsidRDefault="00B954CB" w:rsidP="001B246B">
            <w:pPr>
              <w:jc w:val="center"/>
              <w:rPr>
                <w:lang w:val="en-GB"/>
              </w:rPr>
            </w:pPr>
          </w:p>
          <w:p w14:paraId="42EF6200" w14:textId="4256439D" w:rsidR="00C252BC" w:rsidRPr="00BC3D55" w:rsidRDefault="00BC3D55" w:rsidP="001B246B">
            <w:pPr>
              <w:jc w:val="center"/>
              <w:rPr>
                <w:lang w:val="en-GB"/>
              </w:rPr>
            </w:pPr>
            <w:r w:rsidRPr="00BC3D55">
              <w:rPr>
                <w:lang w:val="en-GB"/>
              </w:rPr>
              <w:drawing>
                <wp:inline distT="0" distB="0" distL="0" distR="0" wp14:anchorId="37D8B5DB" wp14:editId="1068446E">
                  <wp:extent cx="1373456" cy="1485900"/>
                  <wp:effectExtent l="0" t="0" r="0" b="0"/>
                  <wp:docPr id="16142999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86225" cy="1499715"/>
                          </a:xfrm>
                          <a:prstGeom prst="rect">
                            <a:avLst/>
                          </a:prstGeom>
                          <a:noFill/>
                          <a:ln>
                            <a:noFill/>
                          </a:ln>
                        </pic:spPr>
                      </pic:pic>
                    </a:graphicData>
                  </a:graphic>
                </wp:inline>
              </w:drawing>
            </w:r>
          </w:p>
          <w:p w14:paraId="3F4D45EA" w14:textId="77777777" w:rsidR="002C5529" w:rsidRPr="00BC3D55" w:rsidRDefault="002C5529" w:rsidP="001B246B">
            <w:pPr>
              <w:jc w:val="center"/>
              <w:rPr>
                <w:lang w:val="en-GB"/>
              </w:rPr>
            </w:pPr>
          </w:p>
          <w:p w14:paraId="52BF8793" w14:textId="77777777" w:rsidR="002C5529" w:rsidRPr="00BC3D55" w:rsidRDefault="002C5529" w:rsidP="001B246B">
            <w:pPr>
              <w:jc w:val="center"/>
              <w:rPr>
                <w:lang w:val="en-GB"/>
              </w:rPr>
            </w:pPr>
          </w:p>
          <w:p w14:paraId="4C395A88" w14:textId="77777777" w:rsidR="002C5529" w:rsidRPr="00BC3D55" w:rsidRDefault="002C5529" w:rsidP="001B246B">
            <w:pPr>
              <w:jc w:val="center"/>
              <w:rPr>
                <w:lang w:val="en-GB"/>
              </w:rPr>
            </w:pPr>
          </w:p>
          <w:p w14:paraId="3D8682FD" w14:textId="77777777" w:rsidR="00DE5DF9" w:rsidRPr="00BC3D55" w:rsidRDefault="00DE5DF9" w:rsidP="001B246B">
            <w:pPr>
              <w:jc w:val="center"/>
              <w:rPr>
                <w:lang w:val="en-GB"/>
              </w:rPr>
            </w:pPr>
          </w:p>
          <w:p w14:paraId="019A9DF1" w14:textId="5A222869" w:rsidR="00DE5DF9" w:rsidRPr="00BC3D55" w:rsidRDefault="00DE5DF9" w:rsidP="001B246B">
            <w:pPr>
              <w:jc w:val="center"/>
              <w:rPr>
                <w:lang w:val="en-GB"/>
              </w:rPr>
            </w:pPr>
            <w:r w:rsidRPr="00BC3D55">
              <w:rPr>
                <w:lang w:val="en-GB"/>
              </w:rPr>
              <w:drawing>
                <wp:inline distT="0" distB="0" distL="0" distR="0" wp14:anchorId="5B3C3064" wp14:editId="2CDF5FBB">
                  <wp:extent cx="1323975" cy="1487838"/>
                  <wp:effectExtent l="0" t="0" r="0" b="0"/>
                  <wp:docPr id="173368108"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40073" cy="1505928"/>
                          </a:xfrm>
                          <a:prstGeom prst="rect">
                            <a:avLst/>
                          </a:prstGeom>
                          <a:noFill/>
                          <a:ln>
                            <a:noFill/>
                          </a:ln>
                        </pic:spPr>
                      </pic:pic>
                    </a:graphicData>
                  </a:graphic>
                </wp:inline>
              </w:drawing>
            </w:r>
          </w:p>
        </w:tc>
      </w:tr>
      <w:tr w:rsidR="00BC3D55" w:rsidRPr="00BC3D55" w14:paraId="1EF58878" w14:textId="77777777" w:rsidTr="0024220E">
        <w:trPr>
          <w:trHeight w:val="6080"/>
        </w:trPr>
        <w:tc>
          <w:tcPr>
            <w:tcW w:w="4148" w:type="dxa"/>
          </w:tcPr>
          <w:p w14:paraId="67280E8A" w14:textId="77777777" w:rsidR="00F21283" w:rsidRPr="00BC3D55" w:rsidRDefault="00F21283" w:rsidP="00F21283">
            <w:pPr>
              <w:rPr>
                <w:rFonts w:asciiTheme="minorHAnsi" w:hAnsiTheme="minorHAnsi" w:cstheme="minorHAnsi"/>
                <w:lang w:val="en-GB"/>
              </w:rPr>
            </w:pPr>
          </w:p>
          <w:p w14:paraId="5A2D9F34" w14:textId="77777777" w:rsidR="00B954CB" w:rsidRPr="00BC3D55" w:rsidRDefault="00B954CB" w:rsidP="00F21283">
            <w:pPr>
              <w:rPr>
                <w:rFonts w:asciiTheme="minorHAnsi" w:hAnsiTheme="minorHAnsi" w:cstheme="minorHAnsi"/>
                <w:b/>
                <w:bCs/>
                <w:lang w:val="en-GB"/>
              </w:rPr>
            </w:pPr>
          </w:p>
          <w:p w14:paraId="2303B6C4" w14:textId="77777777" w:rsidR="00B954CB" w:rsidRPr="00BC3D55" w:rsidRDefault="00B954CB" w:rsidP="00F21283">
            <w:pPr>
              <w:rPr>
                <w:rFonts w:asciiTheme="minorHAnsi" w:hAnsiTheme="minorHAnsi" w:cstheme="minorHAnsi"/>
                <w:b/>
                <w:bCs/>
                <w:lang w:val="en-GB"/>
              </w:rPr>
            </w:pPr>
          </w:p>
          <w:p w14:paraId="40AD8EFE" w14:textId="77777777" w:rsidR="00B954CB" w:rsidRPr="00BC3D55" w:rsidRDefault="00B954CB" w:rsidP="00F21283">
            <w:pPr>
              <w:rPr>
                <w:rFonts w:asciiTheme="minorHAnsi" w:hAnsiTheme="minorHAnsi" w:cstheme="minorHAnsi"/>
                <w:b/>
                <w:bCs/>
                <w:lang w:val="en-GB"/>
              </w:rPr>
            </w:pPr>
          </w:p>
          <w:p w14:paraId="239261AE" w14:textId="77777777" w:rsidR="00B954CB" w:rsidRPr="00BC3D55" w:rsidRDefault="00B954CB" w:rsidP="00F21283">
            <w:pPr>
              <w:rPr>
                <w:rFonts w:asciiTheme="minorHAnsi" w:hAnsiTheme="minorHAnsi" w:cstheme="minorHAnsi"/>
                <w:b/>
                <w:bCs/>
                <w:lang w:val="en-GB"/>
              </w:rPr>
            </w:pPr>
          </w:p>
          <w:p w14:paraId="779370EE" w14:textId="77777777" w:rsidR="00B954CB" w:rsidRPr="00BC3D55" w:rsidRDefault="00B954CB" w:rsidP="00F21283">
            <w:pPr>
              <w:rPr>
                <w:rFonts w:asciiTheme="minorHAnsi" w:hAnsiTheme="minorHAnsi" w:cstheme="minorHAnsi"/>
                <w:b/>
                <w:bCs/>
                <w:lang w:val="en-GB"/>
              </w:rPr>
            </w:pPr>
          </w:p>
          <w:p w14:paraId="49346FAD" w14:textId="5A2406BA" w:rsidR="005D0A40" w:rsidRPr="00BC3D55" w:rsidRDefault="00DE5DF9" w:rsidP="00F21283">
            <w:pPr>
              <w:rPr>
                <w:rFonts w:asciiTheme="minorHAnsi" w:hAnsiTheme="minorHAnsi" w:cstheme="minorHAnsi"/>
                <w:b/>
                <w:bCs/>
                <w:lang w:val="en-GB"/>
              </w:rPr>
            </w:pPr>
            <w:r w:rsidRPr="00BC3D55">
              <w:rPr>
                <w:rFonts w:asciiTheme="minorHAnsi" w:hAnsiTheme="minorHAnsi" w:cstheme="minorHAnsi"/>
                <w:b/>
                <w:bCs/>
                <w:lang w:val="en-GB"/>
              </w:rPr>
              <w:t xml:space="preserve">Mara Vasileiou </w:t>
            </w:r>
          </w:p>
          <w:p w14:paraId="79106BD5" w14:textId="6870472F" w:rsidR="0021095C" w:rsidRPr="00BC3D55" w:rsidRDefault="007A4867" w:rsidP="00F21283">
            <w:pPr>
              <w:rPr>
                <w:rFonts w:asciiTheme="minorHAnsi" w:hAnsiTheme="minorHAnsi" w:cstheme="minorHAnsi"/>
                <w:lang w:val="en-GB"/>
              </w:rPr>
            </w:pPr>
            <w:r w:rsidRPr="00BC3D55">
              <w:rPr>
                <w:rFonts w:asciiTheme="minorHAnsi" w:hAnsiTheme="minorHAnsi" w:cstheme="minorHAnsi"/>
                <w:lang w:val="en-GB"/>
              </w:rPr>
              <w:t>Associate</w:t>
            </w:r>
          </w:p>
          <w:p w14:paraId="3F1937DC" w14:textId="77777777" w:rsidR="00DE64A9" w:rsidRPr="00BC3D55" w:rsidRDefault="00DE64A9" w:rsidP="00F21283">
            <w:pPr>
              <w:rPr>
                <w:rFonts w:asciiTheme="minorHAnsi" w:hAnsiTheme="minorHAnsi" w:cstheme="minorHAnsi"/>
                <w:lang w:val="en-GB"/>
              </w:rPr>
            </w:pPr>
          </w:p>
          <w:p w14:paraId="55B0B41D" w14:textId="77777777" w:rsidR="00653A6B" w:rsidRPr="00BC3D55" w:rsidRDefault="00653A6B" w:rsidP="00F21283">
            <w:pPr>
              <w:rPr>
                <w:rFonts w:asciiTheme="minorHAnsi" w:hAnsiTheme="minorHAnsi" w:cstheme="minorHAnsi"/>
                <w:lang w:val="en-GB"/>
              </w:rPr>
            </w:pPr>
          </w:p>
          <w:p w14:paraId="07E6015A" w14:textId="77777777" w:rsidR="00653A6B" w:rsidRPr="00BC3D55" w:rsidRDefault="00653A6B" w:rsidP="00F21283">
            <w:pPr>
              <w:rPr>
                <w:rFonts w:asciiTheme="minorHAnsi" w:hAnsiTheme="minorHAnsi" w:cstheme="minorHAnsi"/>
                <w:lang w:val="en-GB"/>
              </w:rPr>
            </w:pPr>
          </w:p>
          <w:p w14:paraId="1655B651" w14:textId="77777777" w:rsidR="00653A6B" w:rsidRPr="00BC3D55" w:rsidRDefault="00653A6B" w:rsidP="00F21283">
            <w:pPr>
              <w:rPr>
                <w:rFonts w:asciiTheme="minorHAnsi" w:hAnsiTheme="minorHAnsi" w:cstheme="minorHAnsi"/>
                <w:lang w:val="en-GB"/>
              </w:rPr>
            </w:pPr>
          </w:p>
          <w:p w14:paraId="3F74BEA4" w14:textId="77777777" w:rsidR="00653A6B" w:rsidRPr="00BC3D55" w:rsidRDefault="00653A6B" w:rsidP="00F21283">
            <w:pPr>
              <w:rPr>
                <w:rFonts w:asciiTheme="minorHAnsi" w:hAnsiTheme="minorHAnsi" w:cstheme="minorHAnsi"/>
                <w:lang w:val="en-GB"/>
              </w:rPr>
            </w:pPr>
          </w:p>
          <w:p w14:paraId="48713CF6" w14:textId="77777777" w:rsidR="00653A6B" w:rsidRPr="00BC3D55" w:rsidRDefault="00653A6B" w:rsidP="00F21283">
            <w:pPr>
              <w:rPr>
                <w:rFonts w:asciiTheme="minorHAnsi" w:hAnsiTheme="minorHAnsi" w:cstheme="minorHAnsi"/>
                <w:lang w:val="en-GB"/>
              </w:rPr>
            </w:pPr>
          </w:p>
          <w:p w14:paraId="6DC45561" w14:textId="77777777" w:rsidR="00B954CB" w:rsidRPr="00BC3D55" w:rsidRDefault="00B954CB" w:rsidP="00F21283">
            <w:pPr>
              <w:rPr>
                <w:rFonts w:asciiTheme="minorHAnsi" w:hAnsiTheme="minorHAnsi" w:cstheme="minorHAnsi"/>
                <w:b/>
                <w:bCs/>
                <w:lang w:val="en-GB"/>
              </w:rPr>
            </w:pPr>
          </w:p>
          <w:p w14:paraId="5E9D9EC9" w14:textId="77777777" w:rsidR="00B954CB" w:rsidRPr="00BC3D55" w:rsidRDefault="00B954CB" w:rsidP="00F21283">
            <w:pPr>
              <w:rPr>
                <w:rFonts w:asciiTheme="minorHAnsi" w:hAnsiTheme="minorHAnsi" w:cstheme="minorHAnsi"/>
                <w:b/>
                <w:bCs/>
                <w:lang w:val="en-GB"/>
              </w:rPr>
            </w:pPr>
          </w:p>
          <w:p w14:paraId="63A213DC" w14:textId="77777777" w:rsidR="00B954CB" w:rsidRPr="00BC3D55" w:rsidRDefault="00B954CB" w:rsidP="00F21283">
            <w:pPr>
              <w:rPr>
                <w:rFonts w:asciiTheme="minorHAnsi" w:hAnsiTheme="minorHAnsi" w:cstheme="minorHAnsi"/>
                <w:b/>
                <w:bCs/>
                <w:lang w:val="en-GB"/>
              </w:rPr>
            </w:pPr>
          </w:p>
          <w:p w14:paraId="5C8FCA1E" w14:textId="79358D52" w:rsidR="00737F0F" w:rsidRPr="00BC3D55" w:rsidRDefault="00DE5DF9" w:rsidP="007A4867">
            <w:pPr>
              <w:rPr>
                <w:rFonts w:asciiTheme="minorHAnsi" w:hAnsiTheme="minorHAnsi" w:cstheme="minorHAnsi"/>
                <w:b/>
                <w:bCs/>
                <w:lang w:val="en-GB"/>
              </w:rPr>
            </w:pPr>
            <w:r w:rsidRPr="00BC3D55">
              <w:rPr>
                <w:rFonts w:asciiTheme="minorHAnsi" w:hAnsiTheme="minorHAnsi" w:cstheme="minorHAnsi"/>
                <w:b/>
                <w:bCs/>
                <w:lang w:val="en-GB"/>
              </w:rPr>
              <w:t xml:space="preserve">Eirini-Eftychia </w:t>
            </w:r>
            <w:proofErr w:type="spellStart"/>
            <w:r w:rsidRPr="00BC3D55">
              <w:rPr>
                <w:rFonts w:asciiTheme="minorHAnsi" w:hAnsiTheme="minorHAnsi" w:cstheme="minorHAnsi"/>
                <w:b/>
                <w:bCs/>
                <w:lang w:val="en-GB"/>
              </w:rPr>
              <w:t>Gkiniki</w:t>
            </w:r>
            <w:proofErr w:type="spellEnd"/>
          </w:p>
          <w:p w14:paraId="6121310E" w14:textId="3C75B8BF" w:rsidR="002201CC" w:rsidRPr="00BC3D55" w:rsidRDefault="00DE5DF9" w:rsidP="00F21283">
            <w:pPr>
              <w:rPr>
                <w:rFonts w:asciiTheme="minorHAnsi" w:hAnsiTheme="minorHAnsi" w:cstheme="minorHAnsi"/>
                <w:lang w:val="en-GB"/>
              </w:rPr>
            </w:pPr>
            <w:r w:rsidRPr="00BC3D55">
              <w:rPr>
                <w:rFonts w:asciiTheme="minorHAnsi" w:hAnsiTheme="minorHAnsi" w:cstheme="minorHAnsi"/>
                <w:lang w:val="en-GB"/>
              </w:rPr>
              <w:t>Associate</w:t>
            </w:r>
          </w:p>
          <w:p w14:paraId="01D8928F" w14:textId="77777777" w:rsidR="00F21283" w:rsidRPr="00BC3D55" w:rsidRDefault="00F21283" w:rsidP="00F21283">
            <w:pPr>
              <w:rPr>
                <w:lang w:val="en-GB"/>
              </w:rPr>
            </w:pPr>
          </w:p>
          <w:p w14:paraId="42F094D1" w14:textId="1B44A697" w:rsidR="000C3F70" w:rsidRPr="00BC3D55" w:rsidRDefault="000C3F70" w:rsidP="00F21283">
            <w:pPr>
              <w:rPr>
                <w:lang w:val="en-GB"/>
              </w:rPr>
            </w:pPr>
          </w:p>
        </w:tc>
        <w:tc>
          <w:tcPr>
            <w:tcW w:w="4158" w:type="dxa"/>
            <w:vMerge/>
          </w:tcPr>
          <w:p w14:paraId="2289E3D1" w14:textId="77777777" w:rsidR="00F21283" w:rsidRPr="00BC3D55" w:rsidRDefault="00F21283" w:rsidP="00F21283">
            <w:pPr>
              <w:rPr>
                <w:lang w:val="en-GB"/>
              </w:rPr>
            </w:pPr>
          </w:p>
        </w:tc>
      </w:tr>
      <w:tr w:rsidR="000C4EC9" w:rsidRPr="00BC3D55" w14:paraId="562AEACE" w14:textId="77777777" w:rsidTr="008419EC">
        <w:tc>
          <w:tcPr>
            <w:tcW w:w="8306" w:type="dxa"/>
            <w:gridSpan w:val="2"/>
          </w:tcPr>
          <w:p w14:paraId="7472C002" w14:textId="77777777" w:rsidR="0024220E" w:rsidRPr="00BC3D55" w:rsidRDefault="0024220E" w:rsidP="0024220E">
            <w:pPr>
              <w:spacing w:after="160" w:line="278" w:lineRule="auto"/>
              <w:jc w:val="both"/>
              <w:rPr>
                <w:rFonts w:ascii="Aptos" w:eastAsia="Aptos" w:hAnsi="Aptos" w:cs="Arial"/>
                <w:b/>
                <w:bCs/>
                <w:lang w:val="en-GB" w:eastAsia="en-US"/>
              </w:rPr>
            </w:pPr>
          </w:p>
          <w:p w14:paraId="29682DD0" w14:textId="77777777" w:rsidR="00BC3D55" w:rsidRPr="00BC3D55" w:rsidRDefault="00BC3D55" w:rsidP="00BC3D55">
            <w:pPr>
              <w:spacing w:line="276" w:lineRule="auto"/>
              <w:jc w:val="both"/>
              <w:rPr>
                <w:rFonts w:ascii="Calibri" w:hAnsi="Calibri" w:cs="Calibri"/>
                <w:sz w:val="22"/>
                <w:szCs w:val="22"/>
                <w:lang w:val="en-GB"/>
              </w:rPr>
            </w:pPr>
            <w:r w:rsidRPr="00BC3D55">
              <w:rPr>
                <w:rFonts w:ascii="Calibri" w:hAnsi="Calibri" w:cs="Calibri"/>
                <w:b/>
                <w:bCs/>
                <w:sz w:val="22"/>
                <w:szCs w:val="22"/>
                <w:lang w:val="en-GB"/>
              </w:rPr>
              <w:t xml:space="preserve">Controller vs Processor; who is liable?  </w:t>
            </w:r>
          </w:p>
          <w:p w14:paraId="1CB24946" w14:textId="3CF562E2" w:rsidR="00BC3D55" w:rsidRPr="00BC3D55" w:rsidRDefault="00BC3D55" w:rsidP="00BC3D55">
            <w:pPr>
              <w:spacing w:line="276" w:lineRule="auto"/>
              <w:jc w:val="both"/>
              <w:rPr>
                <w:rFonts w:ascii="Calibri" w:hAnsi="Calibri" w:cs="Calibri"/>
                <w:sz w:val="22"/>
                <w:szCs w:val="22"/>
                <w:lang w:val="en-GB"/>
              </w:rPr>
            </w:pPr>
            <w:r w:rsidRPr="00BC3D55">
              <w:rPr>
                <w:rFonts w:ascii="Calibri" w:hAnsi="Calibri" w:cs="Calibri"/>
                <w:sz w:val="22"/>
                <w:szCs w:val="22"/>
                <w:lang w:val="en-GB"/>
              </w:rPr>
              <w:t>The Hellenic Data Protection Authority (</w:t>
            </w:r>
            <w:proofErr w:type="spellStart"/>
            <w:r w:rsidRPr="00BC3D55">
              <w:rPr>
                <w:rFonts w:ascii="Calibri" w:hAnsi="Calibri" w:cs="Calibri"/>
                <w:sz w:val="22"/>
                <w:szCs w:val="22"/>
                <w:lang w:val="en-GB"/>
              </w:rPr>
              <w:t>HDPA</w:t>
            </w:r>
            <w:proofErr w:type="spellEnd"/>
            <w:r w:rsidRPr="00BC3D55">
              <w:rPr>
                <w:rFonts w:ascii="Calibri" w:hAnsi="Calibri" w:cs="Calibri"/>
                <w:sz w:val="22"/>
                <w:szCs w:val="22"/>
                <w:lang w:val="en-GB"/>
              </w:rPr>
              <w:t xml:space="preserve">) recently issued its Decision 32/2025, which highlights key problems in how companies in the insurance sector handle customer’ personal data, and cooperate with the Authority. The matter started when an insured under a dental care program complained that he could not obtain copies of his recorded phone conversations, despite repeatedly asking both the insurance company and their healthcare partner. The latter, which ran the call </w:t>
            </w:r>
            <w:proofErr w:type="spellStart"/>
            <w:r w:rsidRPr="00BC3D55">
              <w:rPr>
                <w:rFonts w:ascii="Calibri" w:hAnsi="Calibri" w:cs="Calibri"/>
                <w:sz w:val="22"/>
                <w:szCs w:val="22"/>
                <w:lang w:val="en-GB"/>
              </w:rPr>
              <w:t>center</w:t>
            </w:r>
            <w:proofErr w:type="spellEnd"/>
            <w:r w:rsidRPr="00BC3D55">
              <w:rPr>
                <w:rFonts w:ascii="Calibri" w:hAnsi="Calibri" w:cs="Calibri"/>
                <w:sz w:val="22"/>
                <w:szCs w:val="22"/>
                <w:lang w:val="en-GB"/>
              </w:rPr>
              <w:t xml:space="preserve"> for the dental network supporting the program had been consistently ignoring the insured’s requests, while the insurer had been claiming that they didn’t have access to the recordings and kept encouraging the customer to contact the call </w:t>
            </w:r>
            <w:proofErr w:type="spellStart"/>
            <w:r w:rsidRPr="00BC3D55">
              <w:rPr>
                <w:rFonts w:ascii="Calibri" w:hAnsi="Calibri" w:cs="Calibri"/>
                <w:sz w:val="22"/>
                <w:szCs w:val="22"/>
                <w:lang w:val="en-GB"/>
              </w:rPr>
              <w:t>center</w:t>
            </w:r>
            <w:proofErr w:type="spellEnd"/>
            <w:r w:rsidRPr="00BC3D55">
              <w:rPr>
                <w:rFonts w:ascii="Calibri" w:hAnsi="Calibri" w:cs="Calibri"/>
                <w:sz w:val="22"/>
                <w:szCs w:val="22"/>
                <w:lang w:val="en-GB"/>
              </w:rPr>
              <w:t xml:space="preserve"> directly.</w:t>
            </w:r>
          </w:p>
          <w:p w14:paraId="7EB1CB8E" w14:textId="77777777" w:rsidR="00BC3D55" w:rsidRPr="00BC3D55" w:rsidRDefault="00BC3D55" w:rsidP="00BC3D55">
            <w:pPr>
              <w:spacing w:line="276" w:lineRule="auto"/>
              <w:jc w:val="both"/>
              <w:rPr>
                <w:rFonts w:ascii="Calibri" w:hAnsi="Calibri" w:cs="Calibri"/>
                <w:sz w:val="22"/>
                <w:szCs w:val="22"/>
                <w:lang w:val="en-GB"/>
              </w:rPr>
            </w:pPr>
            <w:r w:rsidRPr="00BC3D55">
              <w:rPr>
                <w:rFonts w:ascii="Calibri" w:hAnsi="Calibri" w:cs="Calibri"/>
                <w:sz w:val="22"/>
                <w:szCs w:val="22"/>
                <w:lang w:val="en-GB"/>
              </w:rPr>
              <w:t xml:space="preserve">While investigating the case, the Authority found that the cooperation agreement between the insurer and the healthcare partner showed that the latter had been operating the call </w:t>
            </w:r>
            <w:proofErr w:type="spellStart"/>
            <w:r w:rsidRPr="00BC3D55">
              <w:rPr>
                <w:rFonts w:ascii="Calibri" w:hAnsi="Calibri" w:cs="Calibri"/>
                <w:sz w:val="22"/>
                <w:szCs w:val="22"/>
                <w:lang w:val="en-GB"/>
              </w:rPr>
              <w:t>center</w:t>
            </w:r>
            <w:proofErr w:type="spellEnd"/>
            <w:r w:rsidRPr="00BC3D55">
              <w:rPr>
                <w:rFonts w:ascii="Calibri" w:hAnsi="Calibri" w:cs="Calibri"/>
                <w:sz w:val="22"/>
                <w:szCs w:val="22"/>
                <w:lang w:val="en-GB"/>
              </w:rPr>
              <w:t xml:space="preserve"> under the insurer’s supervision and was obliged at the same time to send regular </w:t>
            </w:r>
            <w:r w:rsidRPr="00BC3D55">
              <w:rPr>
                <w:rFonts w:ascii="Calibri" w:hAnsi="Calibri" w:cs="Calibri"/>
                <w:sz w:val="22"/>
                <w:szCs w:val="22"/>
                <w:lang w:val="en-GB"/>
              </w:rPr>
              <w:lastRenderedPageBreak/>
              <w:t>reports to the latter.  The Authority ruled that the insured was right to consider the insurer as his main contact to which he could primarily address his data-access requests.</w:t>
            </w:r>
          </w:p>
          <w:p w14:paraId="05DB1195" w14:textId="2898CFA0" w:rsidR="00BC3D55" w:rsidRPr="00BC3D55" w:rsidRDefault="00BC3D55" w:rsidP="00BC3D55">
            <w:pPr>
              <w:spacing w:line="276" w:lineRule="auto"/>
              <w:jc w:val="both"/>
              <w:rPr>
                <w:rFonts w:ascii="Calibri" w:hAnsi="Calibri" w:cs="Calibri"/>
                <w:sz w:val="22"/>
                <w:szCs w:val="22"/>
                <w:lang w:val="en-GB"/>
              </w:rPr>
            </w:pPr>
            <w:r w:rsidRPr="00BC3D55">
              <w:rPr>
                <w:rFonts w:ascii="Calibri" w:hAnsi="Calibri" w:cs="Calibri"/>
                <w:sz w:val="22"/>
                <w:szCs w:val="22"/>
                <w:lang w:val="en-GB"/>
              </w:rPr>
              <w:t xml:space="preserve">As the insurer failed to ensure that the data processor was properly handling the customer’s requests and did not provide the requested recordings, the Authority fined them with a €20,000 fine for violating its obligations as a data controller under the GDPR and Greek law 4624/2019. The call </w:t>
            </w:r>
            <w:proofErr w:type="spellStart"/>
            <w:r w:rsidRPr="00BC3D55">
              <w:rPr>
                <w:rFonts w:ascii="Calibri" w:hAnsi="Calibri" w:cs="Calibri"/>
                <w:sz w:val="22"/>
                <w:szCs w:val="22"/>
                <w:lang w:val="en-GB"/>
              </w:rPr>
              <w:t>center</w:t>
            </w:r>
            <w:proofErr w:type="spellEnd"/>
            <w:r w:rsidRPr="00BC3D55">
              <w:rPr>
                <w:rFonts w:ascii="Calibri" w:hAnsi="Calibri" w:cs="Calibri"/>
                <w:sz w:val="22"/>
                <w:szCs w:val="22"/>
                <w:lang w:val="en-GB"/>
              </w:rPr>
              <w:t xml:space="preserve">, on its part, next to ignoring the data subject’s requests, also failed to cooperate with the Authority’s investigation by failing to submit the required documents, , for which it was fined with a </w:t>
            </w:r>
            <w:r w:rsidRPr="00BC3D55">
              <w:rPr>
                <w:rFonts w:ascii="Calibri" w:hAnsi="Calibri" w:cs="Calibri"/>
                <w:b/>
                <w:bCs/>
                <w:sz w:val="22"/>
                <w:szCs w:val="22"/>
                <w:lang w:val="en-GB"/>
              </w:rPr>
              <w:t>€2,000</w:t>
            </w:r>
            <w:r w:rsidRPr="00BC3D55">
              <w:rPr>
                <w:rFonts w:ascii="Calibri" w:hAnsi="Calibri" w:cs="Calibri"/>
                <w:sz w:val="22"/>
                <w:szCs w:val="22"/>
                <w:lang w:val="en-GB"/>
              </w:rPr>
              <w:t> fine. .</w:t>
            </w:r>
          </w:p>
          <w:p w14:paraId="403E3282" w14:textId="77777777" w:rsidR="00BC3D55" w:rsidRPr="00BC3D55" w:rsidRDefault="00BC3D55" w:rsidP="00BC3D55">
            <w:pPr>
              <w:spacing w:line="276" w:lineRule="auto"/>
              <w:jc w:val="both"/>
              <w:rPr>
                <w:rFonts w:ascii="Calibri" w:hAnsi="Calibri" w:cs="Calibri"/>
                <w:sz w:val="22"/>
                <w:szCs w:val="22"/>
                <w:lang w:val="en-GB"/>
              </w:rPr>
            </w:pPr>
            <w:r w:rsidRPr="00BC3D55">
              <w:rPr>
                <w:rFonts w:ascii="Calibri" w:hAnsi="Calibri" w:cs="Calibri"/>
                <w:sz w:val="22"/>
                <w:szCs w:val="22"/>
                <w:lang w:val="en-GB"/>
              </w:rPr>
              <w:t xml:space="preserve">The right of access is a core GDPR right, enabling individuals to know and control how their personal data is processed. It underpins other rights such as for rectification, erasure, objection, and restriction of processing. According to </w:t>
            </w:r>
            <w:proofErr w:type="spellStart"/>
            <w:r w:rsidRPr="00BC3D55">
              <w:rPr>
                <w:rFonts w:ascii="Calibri" w:hAnsi="Calibri" w:cs="Calibri"/>
                <w:sz w:val="22"/>
                <w:szCs w:val="22"/>
                <w:lang w:val="en-GB"/>
              </w:rPr>
              <w:t>EDPB</w:t>
            </w:r>
            <w:proofErr w:type="spellEnd"/>
            <w:r w:rsidRPr="00BC3D55">
              <w:rPr>
                <w:rFonts w:ascii="Calibri" w:hAnsi="Calibri" w:cs="Calibri"/>
                <w:sz w:val="22"/>
                <w:szCs w:val="22"/>
                <w:lang w:val="en-GB"/>
              </w:rPr>
              <w:t xml:space="preserve"> Guidelines 1/2022 the timely handling of access requests is crucial. Unjustified delays or negligence by the data controller or processor obstruct this right, though the impact of such delays is assessed on a case by case basis and takes objective difficulties into account. </w:t>
            </w:r>
          </w:p>
          <w:p w14:paraId="2D24739A" w14:textId="0DAFA611" w:rsidR="00BC3D55" w:rsidRPr="00BC3D55" w:rsidRDefault="00BC3D55" w:rsidP="00BC3D55">
            <w:pPr>
              <w:spacing w:line="276" w:lineRule="auto"/>
              <w:jc w:val="both"/>
              <w:rPr>
                <w:rFonts w:ascii="Calibri" w:hAnsi="Calibri" w:cs="Calibri"/>
                <w:sz w:val="22"/>
                <w:szCs w:val="22"/>
                <w:lang w:val="en-GB"/>
              </w:rPr>
            </w:pPr>
            <w:r w:rsidRPr="00BC3D55">
              <w:rPr>
                <w:rFonts w:ascii="Calibri" w:hAnsi="Calibri" w:cs="Calibri"/>
                <w:sz w:val="22"/>
                <w:szCs w:val="22"/>
                <w:lang w:val="en-GB"/>
              </w:rPr>
              <w:t xml:space="preserve">In this case, the </w:t>
            </w:r>
            <w:proofErr w:type="spellStart"/>
            <w:r w:rsidRPr="00BC3D55">
              <w:rPr>
                <w:rFonts w:ascii="Calibri" w:hAnsi="Calibri" w:cs="Calibri"/>
                <w:sz w:val="22"/>
                <w:szCs w:val="22"/>
                <w:lang w:val="en-GB"/>
              </w:rPr>
              <w:t>HDPA</w:t>
            </w:r>
            <w:proofErr w:type="spellEnd"/>
            <w:r w:rsidRPr="00BC3D55">
              <w:rPr>
                <w:rFonts w:ascii="Calibri" w:hAnsi="Calibri" w:cs="Calibri"/>
                <w:sz w:val="22"/>
                <w:szCs w:val="22"/>
                <w:lang w:val="en-GB"/>
              </w:rPr>
              <w:t xml:space="preserve"> through its ruling provided guidance as to the circumstances that distinguish the notion of the data controller from that of the data processor.  Under the cooperation agreement, the insurer </w:t>
            </w:r>
            <w:r w:rsidRPr="00BC3D55">
              <w:rPr>
                <w:rFonts w:ascii="Calibri" w:hAnsi="Calibri" w:cs="Calibri"/>
                <w:b/>
                <w:bCs/>
                <w:sz w:val="22"/>
                <w:szCs w:val="22"/>
                <w:lang w:val="en-GB"/>
              </w:rPr>
              <w:t>determined the purposes and means of processing the telephone call recordings</w:t>
            </w:r>
            <w:r w:rsidRPr="00BC3D55">
              <w:rPr>
                <w:rFonts w:ascii="Calibri" w:hAnsi="Calibri" w:cs="Calibri"/>
                <w:sz w:val="22"/>
                <w:szCs w:val="22"/>
                <w:lang w:val="en-GB"/>
              </w:rPr>
              <w:t xml:space="preserve"> managed by the call </w:t>
            </w:r>
            <w:proofErr w:type="spellStart"/>
            <w:r w:rsidRPr="00BC3D55">
              <w:rPr>
                <w:rFonts w:ascii="Calibri" w:hAnsi="Calibri" w:cs="Calibri"/>
                <w:sz w:val="22"/>
                <w:szCs w:val="22"/>
                <w:lang w:val="en-GB"/>
              </w:rPr>
              <w:t>center</w:t>
            </w:r>
            <w:proofErr w:type="spellEnd"/>
            <w:r w:rsidRPr="00BC3D55">
              <w:rPr>
                <w:rFonts w:ascii="Calibri" w:hAnsi="Calibri" w:cs="Calibri"/>
                <w:sz w:val="22"/>
                <w:szCs w:val="22"/>
                <w:lang w:val="en-GB"/>
              </w:rPr>
              <w:t xml:space="preserve">. For customer service and quality control purposes, the agreement set clear and specific operational requirements and asked the call </w:t>
            </w:r>
            <w:proofErr w:type="spellStart"/>
            <w:r w:rsidRPr="00BC3D55">
              <w:rPr>
                <w:rFonts w:ascii="Calibri" w:hAnsi="Calibri" w:cs="Calibri"/>
                <w:sz w:val="22"/>
                <w:szCs w:val="22"/>
                <w:lang w:val="en-GB"/>
              </w:rPr>
              <w:t>center</w:t>
            </w:r>
            <w:proofErr w:type="spellEnd"/>
            <w:r w:rsidRPr="00BC3D55">
              <w:rPr>
                <w:rFonts w:ascii="Calibri" w:hAnsi="Calibri" w:cs="Calibri"/>
                <w:sz w:val="22"/>
                <w:szCs w:val="22"/>
                <w:lang w:val="en-GB"/>
              </w:rPr>
              <w:t xml:space="preserve"> to have the means in place which would make possible the recording and de-recording of the calls and their transmission of the calls in a compatible format. The call </w:t>
            </w:r>
            <w:proofErr w:type="spellStart"/>
            <w:r w:rsidRPr="00BC3D55">
              <w:rPr>
                <w:rFonts w:ascii="Calibri" w:hAnsi="Calibri" w:cs="Calibri"/>
                <w:sz w:val="22"/>
                <w:szCs w:val="22"/>
                <w:lang w:val="en-GB"/>
              </w:rPr>
              <w:t>center</w:t>
            </w:r>
            <w:proofErr w:type="spellEnd"/>
            <w:r w:rsidRPr="00BC3D55">
              <w:rPr>
                <w:rFonts w:ascii="Calibri" w:hAnsi="Calibri" w:cs="Calibri"/>
                <w:sz w:val="22"/>
                <w:szCs w:val="22"/>
                <w:lang w:val="en-GB"/>
              </w:rPr>
              <w:t xml:space="preserve"> should record, transcribe, and transmit call records to the insurer upon request no later than the next working day. The call </w:t>
            </w:r>
            <w:proofErr w:type="spellStart"/>
            <w:r w:rsidRPr="00BC3D55">
              <w:rPr>
                <w:rFonts w:ascii="Calibri" w:hAnsi="Calibri" w:cs="Calibri"/>
                <w:sz w:val="22"/>
                <w:szCs w:val="22"/>
                <w:lang w:val="en-GB"/>
              </w:rPr>
              <w:t>center</w:t>
            </w:r>
            <w:proofErr w:type="spellEnd"/>
            <w:r w:rsidRPr="00BC3D55">
              <w:rPr>
                <w:rFonts w:ascii="Calibri" w:hAnsi="Calibri" w:cs="Calibri"/>
                <w:sz w:val="22"/>
                <w:szCs w:val="22"/>
                <w:lang w:val="en-GB"/>
              </w:rPr>
              <w:t xml:space="preserve"> was also required to submit monthly call </w:t>
            </w:r>
            <w:proofErr w:type="spellStart"/>
            <w:r w:rsidRPr="00BC3D55">
              <w:rPr>
                <w:rFonts w:ascii="Calibri" w:hAnsi="Calibri" w:cs="Calibri"/>
                <w:sz w:val="22"/>
                <w:szCs w:val="22"/>
                <w:lang w:val="en-GB"/>
              </w:rPr>
              <w:t>logswhich</w:t>
            </w:r>
            <w:proofErr w:type="spellEnd"/>
            <w:r w:rsidRPr="00BC3D55">
              <w:rPr>
                <w:rFonts w:ascii="Calibri" w:hAnsi="Calibri" w:cs="Calibri"/>
                <w:sz w:val="22"/>
                <w:szCs w:val="22"/>
                <w:lang w:val="en-GB"/>
              </w:rPr>
              <w:t xml:space="preserve"> would include at least a detailed statement of calls based on a specific template, while all recordings and related data belonged exclusively to the insurer. The insurer retained full responsibility before the supervisory authorities.  In this sense, the insurer specified the purpose of such processing, i.e. "...recording, transcribing, and sending calls in a compatible file format to the insurer for customer service and quality control purposes".</w:t>
            </w:r>
          </w:p>
          <w:p w14:paraId="6A73B4A2" w14:textId="77777777" w:rsidR="00BC3D55" w:rsidRPr="00BC3D55" w:rsidRDefault="00BC3D55" w:rsidP="00BC3D55">
            <w:pPr>
              <w:spacing w:line="276" w:lineRule="auto"/>
              <w:jc w:val="both"/>
              <w:rPr>
                <w:rFonts w:ascii="Calibri" w:hAnsi="Calibri" w:cs="Calibri"/>
                <w:sz w:val="22"/>
                <w:szCs w:val="22"/>
                <w:lang w:val="en-GB"/>
              </w:rPr>
            </w:pPr>
            <w:r w:rsidRPr="00BC3D55">
              <w:rPr>
                <w:rFonts w:ascii="Calibri" w:hAnsi="Calibri" w:cs="Calibri"/>
                <w:sz w:val="22"/>
                <w:szCs w:val="22"/>
                <w:lang w:val="en-GB"/>
              </w:rPr>
              <w:t xml:space="preserve">Under this constellation, the Authority concluded that the insurer was acting as controller for the processing of the insured parties’ calls, regardless of the fact that it did not have initial direct access to the recordings, and irrespective of whether the call </w:t>
            </w:r>
            <w:proofErr w:type="spellStart"/>
            <w:r w:rsidRPr="00BC3D55">
              <w:rPr>
                <w:rFonts w:ascii="Calibri" w:hAnsi="Calibri" w:cs="Calibri"/>
                <w:sz w:val="22"/>
                <w:szCs w:val="22"/>
                <w:lang w:val="en-GB"/>
              </w:rPr>
              <w:t>center</w:t>
            </w:r>
            <w:proofErr w:type="spellEnd"/>
            <w:r w:rsidRPr="00BC3D55">
              <w:rPr>
                <w:rFonts w:ascii="Calibri" w:hAnsi="Calibri" w:cs="Calibri"/>
                <w:sz w:val="22"/>
                <w:szCs w:val="22"/>
                <w:lang w:val="en-GB"/>
              </w:rPr>
              <w:t xml:space="preserve"> was acting as data processor or joint controller. </w:t>
            </w:r>
          </w:p>
          <w:p w14:paraId="73E594F2" w14:textId="77777777" w:rsidR="00BC3D55" w:rsidRPr="00BC3D55" w:rsidRDefault="00BC3D55" w:rsidP="00BC3D55">
            <w:pPr>
              <w:spacing w:line="276" w:lineRule="auto"/>
              <w:jc w:val="both"/>
              <w:rPr>
                <w:rFonts w:ascii="Calibri" w:hAnsi="Calibri" w:cs="Calibri"/>
                <w:sz w:val="22"/>
                <w:szCs w:val="22"/>
                <w:lang w:val="en-GB"/>
              </w:rPr>
            </w:pPr>
            <w:r w:rsidRPr="00BC3D55">
              <w:rPr>
                <w:rFonts w:ascii="Calibri" w:hAnsi="Calibri" w:cs="Calibri"/>
                <w:sz w:val="22"/>
                <w:szCs w:val="22"/>
                <w:lang w:val="en-GB"/>
              </w:rPr>
              <w:t xml:space="preserve">In view of the above, the </w:t>
            </w:r>
            <w:proofErr w:type="spellStart"/>
            <w:r w:rsidRPr="00BC3D55">
              <w:rPr>
                <w:rFonts w:ascii="Calibri" w:hAnsi="Calibri" w:cs="Calibri"/>
                <w:sz w:val="22"/>
                <w:szCs w:val="22"/>
                <w:lang w:val="en-GB"/>
              </w:rPr>
              <w:t>HDPA</w:t>
            </w:r>
            <w:proofErr w:type="spellEnd"/>
            <w:r w:rsidRPr="00BC3D55">
              <w:rPr>
                <w:rFonts w:ascii="Calibri" w:hAnsi="Calibri" w:cs="Calibri"/>
                <w:sz w:val="22"/>
                <w:szCs w:val="22"/>
                <w:lang w:val="en-GB"/>
              </w:rPr>
              <w:t xml:space="preserve"> decided that the insurer violated the data subject’s right of access by </w:t>
            </w:r>
            <w:r w:rsidRPr="00BC3D55">
              <w:rPr>
                <w:rFonts w:ascii="Calibri" w:hAnsi="Calibri" w:cs="Calibri"/>
                <w:b/>
                <w:bCs/>
                <w:sz w:val="22"/>
                <w:szCs w:val="22"/>
                <w:lang w:val="en-GB"/>
              </w:rPr>
              <w:t>delaying or obstructing requests for call recordings</w:t>
            </w:r>
            <w:r w:rsidRPr="00BC3D55">
              <w:rPr>
                <w:rFonts w:ascii="Calibri" w:hAnsi="Calibri" w:cs="Calibri"/>
                <w:sz w:val="22"/>
                <w:szCs w:val="22"/>
                <w:lang w:val="en-GB"/>
              </w:rPr>
              <w:t xml:space="preserve">, and the call </w:t>
            </w:r>
            <w:proofErr w:type="spellStart"/>
            <w:r w:rsidRPr="00BC3D55">
              <w:rPr>
                <w:rFonts w:ascii="Calibri" w:hAnsi="Calibri" w:cs="Calibri"/>
                <w:sz w:val="22"/>
                <w:szCs w:val="22"/>
                <w:lang w:val="en-GB"/>
              </w:rPr>
              <w:t>center</w:t>
            </w:r>
            <w:proofErr w:type="spellEnd"/>
            <w:r w:rsidRPr="00BC3D55">
              <w:rPr>
                <w:rFonts w:ascii="Calibri" w:hAnsi="Calibri" w:cs="Calibri"/>
                <w:sz w:val="22"/>
                <w:szCs w:val="22"/>
                <w:lang w:val="en-GB"/>
              </w:rPr>
              <w:t xml:space="preserve"> failed in its duty to cooperate. In determining the fines, the </w:t>
            </w:r>
            <w:proofErr w:type="spellStart"/>
            <w:r w:rsidRPr="00BC3D55">
              <w:rPr>
                <w:rFonts w:ascii="Calibri" w:hAnsi="Calibri" w:cs="Calibri"/>
                <w:sz w:val="22"/>
                <w:szCs w:val="22"/>
                <w:lang w:val="en-GB"/>
              </w:rPr>
              <w:t>HDPA</w:t>
            </w:r>
            <w:proofErr w:type="spellEnd"/>
            <w:r w:rsidRPr="00BC3D55">
              <w:rPr>
                <w:rFonts w:ascii="Calibri" w:hAnsi="Calibri" w:cs="Calibri"/>
                <w:sz w:val="22"/>
                <w:szCs w:val="22"/>
                <w:lang w:val="en-GB"/>
              </w:rPr>
              <w:t xml:space="preserve"> considered factors including the nature, scope, and severity of the infringements, the conduct of the companies, their financial turnovers and the impact on data subjects.  </w:t>
            </w:r>
          </w:p>
          <w:p w14:paraId="49900FE9" w14:textId="77777777" w:rsidR="00BC3D55" w:rsidRPr="00BC3D55" w:rsidRDefault="00BC3D55" w:rsidP="00BC3D55">
            <w:pPr>
              <w:spacing w:line="276" w:lineRule="auto"/>
              <w:jc w:val="both"/>
              <w:rPr>
                <w:rFonts w:ascii="Calibri" w:hAnsi="Calibri" w:cs="Calibri"/>
                <w:sz w:val="22"/>
                <w:szCs w:val="22"/>
                <w:lang w:val="en-GB"/>
              </w:rPr>
            </w:pPr>
            <w:r w:rsidRPr="00BC3D55">
              <w:rPr>
                <w:rFonts w:ascii="Calibri" w:hAnsi="Calibri" w:cs="Calibri"/>
                <w:sz w:val="22"/>
                <w:szCs w:val="22"/>
                <w:lang w:val="en-GB"/>
              </w:rPr>
              <w:t xml:space="preserve">The decision highlights that data controllers must ensure compliance by processors, supervise the proper service of the latter’s contractual and regulatory obligations such as the timely provision of the personal data, and underscores a trend by the </w:t>
            </w:r>
            <w:proofErr w:type="spellStart"/>
            <w:r w:rsidRPr="00BC3D55">
              <w:rPr>
                <w:rFonts w:ascii="Calibri" w:hAnsi="Calibri" w:cs="Calibri"/>
                <w:sz w:val="22"/>
                <w:szCs w:val="22"/>
                <w:lang w:val="en-GB"/>
              </w:rPr>
              <w:t>HDPA</w:t>
            </w:r>
            <w:proofErr w:type="spellEnd"/>
            <w:r w:rsidRPr="00BC3D55">
              <w:rPr>
                <w:rFonts w:ascii="Calibri" w:hAnsi="Calibri" w:cs="Calibri"/>
                <w:sz w:val="22"/>
                <w:szCs w:val="22"/>
                <w:lang w:val="en-GB"/>
              </w:rPr>
              <w:t xml:space="preserve"> toward stricter sanctions compared to earlier practices, moving beyond mere recommendations or reprimands.</w:t>
            </w:r>
          </w:p>
          <w:p w14:paraId="73839D1F" w14:textId="2682851D" w:rsidR="0024220E" w:rsidRPr="00BC3D55" w:rsidRDefault="00BC3D55" w:rsidP="00BC3D55">
            <w:pPr>
              <w:spacing w:after="160" w:line="278" w:lineRule="auto"/>
              <w:jc w:val="both"/>
              <w:rPr>
                <w:rFonts w:ascii="Aptos" w:eastAsia="Aptos" w:hAnsi="Aptos" w:cs="Arial"/>
                <w:lang w:val="en-GB" w:eastAsia="en-US"/>
              </w:rPr>
            </w:pPr>
            <w:r w:rsidRPr="00BC3D55">
              <w:rPr>
                <w:rFonts w:ascii="Calibri" w:hAnsi="Calibri" w:cs="Calibri"/>
                <w:sz w:val="22"/>
                <w:szCs w:val="22"/>
                <w:lang w:val="en-GB"/>
              </w:rPr>
              <w:t xml:space="preserve">While the allocation of liability between the </w:t>
            </w:r>
            <w:r w:rsidRPr="00BC3D55">
              <w:rPr>
                <w:rFonts w:ascii="Calibri" w:hAnsi="Calibri" w:cs="Calibri"/>
                <w:b/>
                <w:bCs/>
                <w:sz w:val="22"/>
                <w:szCs w:val="22"/>
                <w:lang w:val="en-GB"/>
              </w:rPr>
              <w:t>data controller</w:t>
            </w:r>
            <w:r w:rsidRPr="00BC3D55">
              <w:rPr>
                <w:rFonts w:ascii="Calibri" w:hAnsi="Calibri" w:cs="Calibri"/>
                <w:sz w:val="22"/>
                <w:szCs w:val="22"/>
                <w:lang w:val="en-GB"/>
              </w:rPr>
              <w:t xml:space="preserve"> and the </w:t>
            </w:r>
            <w:r w:rsidRPr="00BC3D55">
              <w:rPr>
                <w:rFonts w:ascii="Calibri" w:hAnsi="Calibri" w:cs="Calibri"/>
                <w:b/>
                <w:bCs/>
                <w:sz w:val="22"/>
                <w:szCs w:val="22"/>
                <w:lang w:val="en-GB"/>
              </w:rPr>
              <w:t>processor</w:t>
            </w:r>
            <w:r w:rsidRPr="00BC3D55">
              <w:rPr>
                <w:rFonts w:ascii="Calibri" w:hAnsi="Calibri" w:cs="Calibri"/>
                <w:sz w:val="22"/>
                <w:szCs w:val="22"/>
                <w:lang w:val="en-GB"/>
              </w:rPr>
              <w:t xml:space="preserve"> primarily governs their </w:t>
            </w:r>
            <w:r w:rsidRPr="00BC3D55">
              <w:rPr>
                <w:rFonts w:ascii="Calibri" w:hAnsi="Calibri" w:cs="Calibri"/>
                <w:b/>
                <w:bCs/>
                <w:sz w:val="22"/>
                <w:szCs w:val="22"/>
                <w:lang w:val="en-GB"/>
              </w:rPr>
              <w:t>internal contractual and legal relationship</w:t>
            </w:r>
            <w:r w:rsidRPr="00BC3D55">
              <w:rPr>
                <w:rFonts w:ascii="Calibri" w:hAnsi="Calibri" w:cs="Calibri"/>
                <w:sz w:val="22"/>
                <w:szCs w:val="22"/>
                <w:lang w:val="en-GB"/>
              </w:rPr>
              <w:t xml:space="preserve">, it indirectly affects the </w:t>
            </w:r>
            <w:r w:rsidRPr="00BC3D55">
              <w:rPr>
                <w:rFonts w:ascii="Calibri" w:hAnsi="Calibri" w:cs="Calibri"/>
                <w:b/>
                <w:bCs/>
                <w:sz w:val="22"/>
                <w:szCs w:val="22"/>
                <w:lang w:val="en-GB"/>
              </w:rPr>
              <w:t>rights of the data subject</w:t>
            </w:r>
            <w:r w:rsidRPr="00BC3D55">
              <w:rPr>
                <w:rFonts w:ascii="Calibri" w:hAnsi="Calibri" w:cs="Calibri"/>
                <w:sz w:val="22"/>
                <w:szCs w:val="22"/>
                <w:lang w:val="en-GB"/>
              </w:rPr>
              <w:t xml:space="preserve">. The GDPR ensures that the controller remains ultimately responsible for </w:t>
            </w:r>
            <w:r w:rsidRPr="00BC3D55">
              <w:rPr>
                <w:rFonts w:ascii="Calibri" w:hAnsi="Calibri" w:cs="Calibri"/>
                <w:sz w:val="22"/>
                <w:szCs w:val="22"/>
                <w:lang w:val="en-GB"/>
              </w:rPr>
              <w:lastRenderedPageBreak/>
              <w:t xml:space="preserve">safeguarding the subject’s rights under </w:t>
            </w:r>
            <w:r w:rsidRPr="00BC3D55">
              <w:rPr>
                <w:rFonts w:ascii="Calibri" w:hAnsi="Calibri" w:cs="Calibri"/>
                <w:b/>
                <w:bCs/>
                <w:sz w:val="22"/>
                <w:szCs w:val="22"/>
                <w:lang w:val="en-GB"/>
              </w:rPr>
              <w:t>Articles 12–23 GDPR</w:t>
            </w:r>
            <w:r w:rsidRPr="00BC3D55">
              <w:rPr>
                <w:rFonts w:ascii="Calibri" w:hAnsi="Calibri" w:cs="Calibri"/>
                <w:sz w:val="22"/>
                <w:szCs w:val="22"/>
                <w:lang w:val="en-GB"/>
              </w:rPr>
              <w:t xml:space="preserve">. The clear contractual allocation of responsibilities and oversight mechanisms is essential to ensure that data subjects can </w:t>
            </w:r>
            <w:r w:rsidRPr="00BC3D55">
              <w:rPr>
                <w:rFonts w:ascii="Calibri" w:hAnsi="Calibri" w:cs="Calibri"/>
                <w:b/>
                <w:bCs/>
                <w:sz w:val="22"/>
                <w:szCs w:val="22"/>
                <w:lang w:val="en-GB"/>
              </w:rPr>
              <w:t>effectively exercise their rights</w:t>
            </w:r>
            <w:r w:rsidRPr="00BC3D55">
              <w:rPr>
                <w:rFonts w:ascii="Calibri" w:hAnsi="Calibri" w:cs="Calibri"/>
                <w:sz w:val="22"/>
                <w:szCs w:val="22"/>
                <w:lang w:val="en-GB"/>
              </w:rPr>
              <w:t xml:space="preserve"> and data controllers can comply with their legal and regulatory obligations when they outsource personal data related functions</w:t>
            </w:r>
            <w:r w:rsidR="00DA23BC">
              <w:rPr>
                <w:rFonts w:ascii="Calibri" w:hAnsi="Calibri" w:cs="Calibri"/>
                <w:sz w:val="22"/>
                <w:szCs w:val="22"/>
                <w:lang w:val="en-GB"/>
              </w:rPr>
              <w:t>.</w:t>
            </w:r>
          </w:p>
          <w:p w14:paraId="69F0CE65" w14:textId="3E5577C8" w:rsidR="000C4EC9" w:rsidRPr="00BC3D55" w:rsidRDefault="000C4EC9" w:rsidP="00A85DE3">
            <w:pPr>
              <w:spacing w:line="288" w:lineRule="auto"/>
              <w:jc w:val="center"/>
              <w:rPr>
                <w:rFonts w:asciiTheme="minorHAnsi" w:hAnsiTheme="minorHAnsi" w:cstheme="minorHAnsi"/>
                <w:b/>
                <w:sz w:val="26"/>
                <w:szCs w:val="26"/>
                <w:lang w:val="en-GB"/>
              </w:rPr>
            </w:pPr>
          </w:p>
        </w:tc>
      </w:tr>
    </w:tbl>
    <w:p w14:paraId="705683C5" w14:textId="77777777" w:rsidR="0024220E" w:rsidRPr="00BC3D55" w:rsidRDefault="0024220E" w:rsidP="00433631">
      <w:pPr>
        <w:pStyle w:val="a5"/>
        <w:spacing w:line="360" w:lineRule="auto"/>
        <w:jc w:val="center"/>
        <w:rPr>
          <w:lang w:val="en-GB"/>
        </w:rPr>
      </w:pPr>
      <w:bookmarkStart w:id="0" w:name="str_179"/>
      <w:bookmarkStart w:id="1" w:name="str_181"/>
      <w:bookmarkStart w:id="2" w:name="str_182"/>
      <w:bookmarkStart w:id="3" w:name="str_183"/>
      <w:bookmarkEnd w:id="0"/>
      <w:bookmarkEnd w:id="1"/>
      <w:bookmarkEnd w:id="2"/>
      <w:bookmarkEnd w:id="3"/>
    </w:p>
    <w:p w14:paraId="15F3864A" w14:textId="77777777" w:rsidR="0024220E" w:rsidRPr="00BC3D55" w:rsidRDefault="0024220E" w:rsidP="00433631">
      <w:pPr>
        <w:pStyle w:val="a5"/>
        <w:spacing w:line="360" w:lineRule="auto"/>
        <w:jc w:val="center"/>
        <w:rPr>
          <w:lang w:val="en-GB"/>
        </w:rPr>
      </w:pPr>
    </w:p>
    <w:p w14:paraId="70C2C6D7" w14:textId="420A0877" w:rsidR="008D1745" w:rsidRPr="00BC3D55" w:rsidRDefault="008D1745" w:rsidP="00433631">
      <w:pPr>
        <w:pStyle w:val="a5"/>
        <w:spacing w:line="360" w:lineRule="auto"/>
        <w:jc w:val="center"/>
        <w:rPr>
          <w:rFonts w:ascii="Arial Nova" w:hAnsi="Arial Nova"/>
          <w:lang w:val="en-GB"/>
        </w:rPr>
      </w:pPr>
      <w:hyperlink r:id="rId14" w:history="1">
        <w:r w:rsidRPr="00BC3D55">
          <w:rPr>
            <w:rStyle w:val="-"/>
            <w:rFonts w:ascii="Arial Nova" w:hAnsi="Arial Nova"/>
            <w:lang w:val="en-GB"/>
          </w:rPr>
          <w:t>Follow us on LinkedIn</w:t>
        </w:r>
      </w:hyperlink>
    </w:p>
    <w:p w14:paraId="7B531BF7" w14:textId="77777777" w:rsidR="008D1745" w:rsidRPr="00BC3D55" w:rsidRDefault="008D1745" w:rsidP="008D1745">
      <w:pPr>
        <w:pStyle w:val="a5"/>
        <w:spacing w:line="360" w:lineRule="auto"/>
        <w:rPr>
          <w:rFonts w:ascii="Arial Nova" w:hAnsi="Arial Nova"/>
          <w:lang w:val="en-GB"/>
        </w:rPr>
      </w:pPr>
      <w:r w:rsidRPr="00BC3D55">
        <w:rPr>
          <w:rFonts w:ascii="Arial Nova" w:hAnsi="Arial Nova"/>
          <w:lang w:val="en-GB"/>
        </w:rPr>
        <w:drawing>
          <wp:anchor distT="0" distB="0" distL="114300" distR="114300" simplePos="0" relativeHeight="251668480" behindDoc="0" locked="0" layoutInCell="1" allowOverlap="1" wp14:anchorId="3B64BEF0" wp14:editId="22FDC0ED">
            <wp:simplePos x="0" y="0"/>
            <wp:positionH relativeFrom="column">
              <wp:posOffset>2007235</wp:posOffset>
            </wp:positionH>
            <wp:positionV relativeFrom="paragraph">
              <wp:posOffset>148590</wp:posOffset>
            </wp:positionV>
            <wp:extent cx="1457325" cy="355600"/>
            <wp:effectExtent l="0" t="0" r="0" b="6350"/>
            <wp:wrapSquare wrapText="bothSides"/>
            <wp:docPr id="1169568752" name="Picture 1169568752">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282438" name="Picture 670282438">
                      <a:hlinkClick r:id="rId14"/>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57325" cy="355600"/>
                    </a:xfrm>
                    <a:prstGeom prst="rect">
                      <a:avLst/>
                    </a:prstGeom>
                    <a:noFill/>
                    <a:ln>
                      <a:noFill/>
                    </a:ln>
                  </pic:spPr>
                </pic:pic>
              </a:graphicData>
            </a:graphic>
          </wp:anchor>
        </w:drawing>
      </w:r>
    </w:p>
    <w:p w14:paraId="71F821D5" w14:textId="77777777" w:rsidR="00691644" w:rsidRPr="00BC3D55" w:rsidRDefault="00691644">
      <w:pPr>
        <w:rPr>
          <w:rFonts w:asciiTheme="minorHAnsi" w:hAnsiTheme="minorHAnsi" w:cstheme="minorHAnsi"/>
          <w:lang w:val="en-GB"/>
        </w:rPr>
      </w:pPr>
    </w:p>
    <w:sectPr w:rsidR="00691644" w:rsidRPr="00BC3D55" w:rsidSect="00BD41B9">
      <w:headerReference w:type="default" r:id="rId16"/>
      <w:footerReference w:type="default" r:id="rId17"/>
      <w:pgSz w:w="11906" w:h="16838"/>
      <w:pgMar w:top="1440" w:right="1800" w:bottom="1440" w:left="180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F0242D" w14:textId="77777777" w:rsidR="0087222F" w:rsidRDefault="0087222F" w:rsidP="00BD41B9">
      <w:r>
        <w:separator/>
      </w:r>
    </w:p>
  </w:endnote>
  <w:endnote w:type="continuationSeparator" w:id="0">
    <w:p w14:paraId="783558E7" w14:textId="77777777" w:rsidR="0087222F" w:rsidRDefault="0087222F" w:rsidP="00BD41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1"/>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A1"/>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17672" w14:textId="332D0478" w:rsidR="00646ADE" w:rsidRDefault="00646ADE" w:rsidP="00646ADE">
    <w:pPr>
      <w:pStyle w:val="a5"/>
      <w:jc w:val="center"/>
      <w:rPr>
        <w:lang w:val="en-US"/>
      </w:rPr>
    </w:pPr>
    <w:hyperlink r:id="rId1" w:history="1">
      <w:r w:rsidRPr="00D05350">
        <w:rPr>
          <w:rStyle w:val="-"/>
          <w:lang w:val="en-US"/>
        </w:rPr>
        <w:t>www.rokas.com</w:t>
      </w:r>
    </w:hyperlink>
  </w:p>
  <w:p w14:paraId="1D5EC3A7" w14:textId="77777777" w:rsidR="00646ADE" w:rsidRPr="00646ADE" w:rsidRDefault="00646ADE">
    <w:pPr>
      <w:pStyle w:val="a5"/>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411421" w14:textId="77777777" w:rsidR="0087222F" w:rsidRDefault="0087222F" w:rsidP="00BD41B9">
      <w:r>
        <w:separator/>
      </w:r>
    </w:p>
  </w:footnote>
  <w:footnote w:type="continuationSeparator" w:id="0">
    <w:p w14:paraId="37B9B6B2" w14:textId="77777777" w:rsidR="0087222F" w:rsidRDefault="0087222F" w:rsidP="00BD41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7C4B6" w14:textId="1CE33EBD" w:rsidR="00BD41B9" w:rsidRDefault="00BD41B9">
    <w:pPr>
      <w:pStyle w:val="a4"/>
    </w:pPr>
    <w:r>
      <w:rPr>
        <w:noProof/>
      </w:rPr>
      <w:drawing>
        <wp:inline distT="0" distB="0" distL="0" distR="0" wp14:anchorId="54EA8E4F" wp14:editId="374776B1">
          <wp:extent cx="1539025" cy="385590"/>
          <wp:effectExtent l="0" t="0" r="4445" b="0"/>
          <wp:docPr id="1719682918" name="Picture 1" descr="A blue letter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682918" name="Picture 1" descr="A blue letters on a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68388" cy="39294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83442"/>
    <w:multiLevelType w:val="multilevel"/>
    <w:tmpl w:val="9AFA18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Symbol" w:eastAsia="Times New Roman" w:hAnsi="Symbol" w:cstheme="minorHAns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C0468F"/>
    <w:multiLevelType w:val="hybridMultilevel"/>
    <w:tmpl w:val="7A8CD256"/>
    <w:lvl w:ilvl="0" w:tplc="04080015">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2561BA2"/>
    <w:multiLevelType w:val="hybridMultilevel"/>
    <w:tmpl w:val="B8B6B47E"/>
    <w:lvl w:ilvl="0" w:tplc="012E865E">
      <w:start w:val="3"/>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CF4337"/>
    <w:multiLevelType w:val="hybridMultilevel"/>
    <w:tmpl w:val="D08E7A8E"/>
    <w:lvl w:ilvl="0" w:tplc="26FE2A40">
      <w:start w:val="4"/>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077318"/>
    <w:multiLevelType w:val="hybridMultilevel"/>
    <w:tmpl w:val="D06427E4"/>
    <w:lvl w:ilvl="0" w:tplc="04080015">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458C586D"/>
    <w:multiLevelType w:val="hybridMultilevel"/>
    <w:tmpl w:val="4FD4EB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625A4F8D"/>
    <w:multiLevelType w:val="multilevel"/>
    <w:tmpl w:val="5A8074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5922161"/>
    <w:multiLevelType w:val="hybridMultilevel"/>
    <w:tmpl w:val="8D963A74"/>
    <w:lvl w:ilvl="0" w:tplc="27E0171C">
      <w:start w:val="1"/>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94640DE"/>
    <w:multiLevelType w:val="hybridMultilevel"/>
    <w:tmpl w:val="B1686BBC"/>
    <w:lvl w:ilvl="0" w:tplc="CA607BFC">
      <w:start w:val="2"/>
      <w:numFmt w:val="upperRoman"/>
      <w:lvlText w:val="%1."/>
      <w:lvlJc w:val="right"/>
      <w:pPr>
        <w:ind w:left="720" w:hanging="360"/>
      </w:pPr>
      <w:rPr>
        <w:rFonts w:asciiTheme="minorHAnsi" w:hAnsiTheme="minorHAnsi" w:cstheme="minorHAns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3558484">
    <w:abstractNumId w:val="5"/>
  </w:num>
  <w:num w:numId="2" w16cid:durableId="1624455881">
    <w:abstractNumId w:val="6"/>
  </w:num>
  <w:num w:numId="3" w16cid:durableId="1102264867">
    <w:abstractNumId w:val="7"/>
  </w:num>
  <w:num w:numId="4" w16cid:durableId="1942840023">
    <w:abstractNumId w:val="8"/>
  </w:num>
  <w:num w:numId="5" w16cid:durableId="2137748763">
    <w:abstractNumId w:val="2"/>
  </w:num>
  <w:num w:numId="6" w16cid:durableId="1830826385">
    <w:abstractNumId w:val="3"/>
  </w:num>
  <w:num w:numId="7" w16cid:durableId="1331250162">
    <w:abstractNumId w:val="0"/>
  </w:num>
  <w:num w:numId="8" w16cid:durableId="5594122">
    <w:abstractNumId w:val="1"/>
  </w:num>
  <w:num w:numId="9" w16cid:durableId="10044054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1B9"/>
    <w:rsid w:val="00000E84"/>
    <w:rsid w:val="000456BE"/>
    <w:rsid w:val="00045E0E"/>
    <w:rsid w:val="000C3F70"/>
    <w:rsid w:val="000C4EC9"/>
    <w:rsid w:val="000F0C38"/>
    <w:rsid w:val="0013221B"/>
    <w:rsid w:val="00142930"/>
    <w:rsid w:val="0016312C"/>
    <w:rsid w:val="00164376"/>
    <w:rsid w:val="001A7F34"/>
    <w:rsid w:val="001B0729"/>
    <w:rsid w:val="001B1974"/>
    <w:rsid w:val="001B246B"/>
    <w:rsid w:val="001D493E"/>
    <w:rsid w:val="001E19CC"/>
    <w:rsid w:val="001F6E75"/>
    <w:rsid w:val="0021095C"/>
    <w:rsid w:val="002201CC"/>
    <w:rsid w:val="00235ED0"/>
    <w:rsid w:val="0024220E"/>
    <w:rsid w:val="00256E38"/>
    <w:rsid w:val="00265771"/>
    <w:rsid w:val="0027654C"/>
    <w:rsid w:val="002871ED"/>
    <w:rsid w:val="002A4A5E"/>
    <w:rsid w:val="002C5529"/>
    <w:rsid w:val="002D6A2D"/>
    <w:rsid w:val="002E67D0"/>
    <w:rsid w:val="002F3518"/>
    <w:rsid w:val="002F7BCF"/>
    <w:rsid w:val="00352C3B"/>
    <w:rsid w:val="003676FE"/>
    <w:rsid w:val="00390D1F"/>
    <w:rsid w:val="003C0EF9"/>
    <w:rsid w:val="003C2EFC"/>
    <w:rsid w:val="003E0B57"/>
    <w:rsid w:val="003E5023"/>
    <w:rsid w:val="003E7D01"/>
    <w:rsid w:val="00407F0D"/>
    <w:rsid w:val="00420800"/>
    <w:rsid w:val="00432536"/>
    <w:rsid w:val="00433631"/>
    <w:rsid w:val="00435A57"/>
    <w:rsid w:val="00464D25"/>
    <w:rsid w:val="00470719"/>
    <w:rsid w:val="004B61A3"/>
    <w:rsid w:val="004F772E"/>
    <w:rsid w:val="00503BFD"/>
    <w:rsid w:val="0053260D"/>
    <w:rsid w:val="00544BCA"/>
    <w:rsid w:val="005545E0"/>
    <w:rsid w:val="0057253D"/>
    <w:rsid w:val="0057480E"/>
    <w:rsid w:val="00581412"/>
    <w:rsid w:val="005D0A40"/>
    <w:rsid w:val="005D7D8C"/>
    <w:rsid w:val="005F4BEA"/>
    <w:rsid w:val="005F55E9"/>
    <w:rsid w:val="006124C7"/>
    <w:rsid w:val="006248CA"/>
    <w:rsid w:val="00646ADE"/>
    <w:rsid w:val="00653A6B"/>
    <w:rsid w:val="00661963"/>
    <w:rsid w:val="006659FC"/>
    <w:rsid w:val="00691644"/>
    <w:rsid w:val="0069671B"/>
    <w:rsid w:val="006C0576"/>
    <w:rsid w:val="006C37ED"/>
    <w:rsid w:val="006E0A9E"/>
    <w:rsid w:val="00721983"/>
    <w:rsid w:val="0073166B"/>
    <w:rsid w:val="00735116"/>
    <w:rsid w:val="007358F9"/>
    <w:rsid w:val="00737F0F"/>
    <w:rsid w:val="00744C36"/>
    <w:rsid w:val="00751E37"/>
    <w:rsid w:val="007750CB"/>
    <w:rsid w:val="00775A96"/>
    <w:rsid w:val="007A4867"/>
    <w:rsid w:val="007D589D"/>
    <w:rsid w:val="007E7FC8"/>
    <w:rsid w:val="007F2A97"/>
    <w:rsid w:val="00812916"/>
    <w:rsid w:val="008419EC"/>
    <w:rsid w:val="008522D2"/>
    <w:rsid w:val="008604D4"/>
    <w:rsid w:val="0087222F"/>
    <w:rsid w:val="0087448F"/>
    <w:rsid w:val="008A2643"/>
    <w:rsid w:val="008D1745"/>
    <w:rsid w:val="00901F63"/>
    <w:rsid w:val="00903C6C"/>
    <w:rsid w:val="00961EB9"/>
    <w:rsid w:val="00974AC3"/>
    <w:rsid w:val="00982DA4"/>
    <w:rsid w:val="00990F13"/>
    <w:rsid w:val="009B4420"/>
    <w:rsid w:val="009E059B"/>
    <w:rsid w:val="009E71FA"/>
    <w:rsid w:val="009F6C2E"/>
    <w:rsid w:val="00A27319"/>
    <w:rsid w:val="00A4553F"/>
    <w:rsid w:val="00A51ABC"/>
    <w:rsid w:val="00A652C1"/>
    <w:rsid w:val="00A85DE3"/>
    <w:rsid w:val="00AF38DC"/>
    <w:rsid w:val="00B071DE"/>
    <w:rsid w:val="00B1261F"/>
    <w:rsid w:val="00B16E3D"/>
    <w:rsid w:val="00B1783D"/>
    <w:rsid w:val="00B34B31"/>
    <w:rsid w:val="00B954CB"/>
    <w:rsid w:val="00BC3D55"/>
    <w:rsid w:val="00BD41B9"/>
    <w:rsid w:val="00C10BFD"/>
    <w:rsid w:val="00C252BC"/>
    <w:rsid w:val="00C63CA1"/>
    <w:rsid w:val="00C652BF"/>
    <w:rsid w:val="00C76C3A"/>
    <w:rsid w:val="00CA02E3"/>
    <w:rsid w:val="00CC20BC"/>
    <w:rsid w:val="00CC23DB"/>
    <w:rsid w:val="00CD51DE"/>
    <w:rsid w:val="00CE468D"/>
    <w:rsid w:val="00CF685A"/>
    <w:rsid w:val="00D5117F"/>
    <w:rsid w:val="00D53491"/>
    <w:rsid w:val="00D60AEB"/>
    <w:rsid w:val="00D7515C"/>
    <w:rsid w:val="00D81BF4"/>
    <w:rsid w:val="00D9105C"/>
    <w:rsid w:val="00DA23BC"/>
    <w:rsid w:val="00DE5DF9"/>
    <w:rsid w:val="00DE64A9"/>
    <w:rsid w:val="00E350E9"/>
    <w:rsid w:val="00E52325"/>
    <w:rsid w:val="00E654DC"/>
    <w:rsid w:val="00E66F0D"/>
    <w:rsid w:val="00E72AEB"/>
    <w:rsid w:val="00E83257"/>
    <w:rsid w:val="00EA08BB"/>
    <w:rsid w:val="00EA559F"/>
    <w:rsid w:val="00EC0479"/>
    <w:rsid w:val="00ED280A"/>
    <w:rsid w:val="00F21283"/>
    <w:rsid w:val="00F376C2"/>
    <w:rsid w:val="00F6612F"/>
    <w:rsid w:val="00F83470"/>
    <w:rsid w:val="00F87D7C"/>
    <w:rsid w:val="00FA46C8"/>
    <w:rsid w:val="00FB57A0"/>
    <w:rsid w:val="00FE2D8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A1E60C"/>
  <w15:chartTrackingRefBased/>
  <w15:docId w15:val="{55C61AA0-E208-4DB9-B3A0-84A5C92EB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kern w:val="2"/>
        <w:lang w:val="el-GR" w:eastAsia="el-GR" w:bidi="ar-SA"/>
        <w14:ligatures w14:val="standardContextua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D41B9"/>
    <w:rPr>
      <w:rFonts w:asciiTheme="minorHAnsi" w:eastAsiaTheme="minorEastAsia" w:hAnsiTheme="minorHAnsi" w:cstheme="minorBidi"/>
      <w:kern w:val="0"/>
      <w:sz w:val="22"/>
      <w:szCs w:val="22"/>
      <w:lang w:val="en-US" w:eastAsia="en-US"/>
      <w14:ligatures w14:val="none"/>
    </w:rPr>
  </w:style>
  <w:style w:type="character" w:customStyle="1" w:styleId="Char">
    <w:name w:val="Χωρίς διάστιχο Char"/>
    <w:basedOn w:val="a0"/>
    <w:link w:val="a3"/>
    <w:uiPriority w:val="1"/>
    <w:rsid w:val="00BD41B9"/>
    <w:rPr>
      <w:rFonts w:asciiTheme="minorHAnsi" w:eastAsiaTheme="minorEastAsia" w:hAnsiTheme="minorHAnsi" w:cstheme="minorBidi"/>
      <w:kern w:val="0"/>
      <w:sz w:val="22"/>
      <w:szCs w:val="22"/>
      <w:lang w:val="en-US" w:eastAsia="en-US"/>
      <w14:ligatures w14:val="none"/>
    </w:rPr>
  </w:style>
  <w:style w:type="paragraph" w:styleId="a4">
    <w:name w:val="header"/>
    <w:basedOn w:val="a"/>
    <w:link w:val="Char0"/>
    <w:rsid w:val="00BD41B9"/>
    <w:pPr>
      <w:tabs>
        <w:tab w:val="center" w:pos="4153"/>
        <w:tab w:val="right" w:pos="8306"/>
      </w:tabs>
    </w:pPr>
  </w:style>
  <w:style w:type="character" w:customStyle="1" w:styleId="Char0">
    <w:name w:val="Κεφαλίδα Char"/>
    <w:basedOn w:val="a0"/>
    <w:link w:val="a4"/>
    <w:rsid w:val="00BD41B9"/>
    <w:rPr>
      <w:sz w:val="24"/>
      <w:szCs w:val="24"/>
    </w:rPr>
  </w:style>
  <w:style w:type="paragraph" w:styleId="a5">
    <w:name w:val="footer"/>
    <w:basedOn w:val="a"/>
    <w:link w:val="Char1"/>
    <w:rsid w:val="00BD41B9"/>
    <w:pPr>
      <w:tabs>
        <w:tab w:val="center" w:pos="4153"/>
        <w:tab w:val="right" w:pos="8306"/>
      </w:tabs>
    </w:pPr>
  </w:style>
  <w:style w:type="character" w:customStyle="1" w:styleId="Char1">
    <w:name w:val="Υποσέλιδο Char"/>
    <w:basedOn w:val="a0"/>
    <w:link w:val="a5"/>
    <w:rsid w:val="00BD41B9"/>
    <w:rPr>
      <w:sz w:val="24"/>
      <w:szCs w:val="24"/>
    </w:rPr>
  </w:style>
  <w:style w:type="character" w:styleId="-">
    <w:name w:val="Hyperlink"/>
    <w:basedOn w:val="a0"/>
    <w:rsid w:val="009B4420"/>
    <w:rPr>
      <w:color w:val="0563C1" w:themeColor="hyperlink"/>
      <w:u w:val="single"/>
    </w:rPr>
  </w:style>
  <w:style w:type="character" w:styleId="a6">
    <w:name w:val="Unresolved Mention"/>
    <w:basedOn w:val="a0"/>
    <w:uiPriority w:val="99"/>
    <w:semiHidden/>
    <w:unhideWhenUsed/>
    <w:rsid w:val="009B4420"/>
    <w:rPr>
      <w:color w:val="605E5C"/>
      <w:shd w:val="clear" w:color="auto" w:fill="E1DFDD"/>
    </w:rPr>
  </w:style>
  <w:style w:type="character" w:styleId="-0">
    <w:name w:val="FollowedHyperlink"/>
    <w:basedOn w:val="a0"/>
    <w:rsid w:val="00CD51DE"/>
    <w:rPr>
      <w:color w:val="954F72" w:themeColor="followedHyperlink"/>
      <w:u w:val="single"/>
    </w:rPr>
  </w:style>
  <w:style w:type="table" w:styleId="a7">
    <w:name w:val="Table Grid"/>
    <w:basedOn w:val="a1"/>
    <w:uiPriority w:val="59"/>
    <w:rsid w:val="00F212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F21283"/>
    <w:pPr>
      <w:ind w:left="720"/>
      <w:contextualSpacing/>
    </w:pPr>
  </w:style>
  <w:style w:type="paragraph" w:styleId="a9">
    <w:name w:val="footnote text"/>
    <w:basedOn w:val="a"/>
    <w:link w:val="Char2"/>
    <w:uiPriority w:val="99"/>
    <w:unhideWhenUsed/>
    <w:rsid w:val="0013221B"/>
    <w:rPr>
      <w:rFonts w:asciiTheme="minorHAnsi" w:eastAsiaTheme="minorHAnsi" w:hAnsiTheme="minorHAnsi" w:cstheme="minorBidi"/>
      <w:sz w:val="20"/>
      <w:szCs w:val="20"/>
      <w:lang w:val="en-US" w:eastAsia="en-US"/>
    </w:rPr>
  </w:style>
  <w:style w:type="character" w:customStyle="1" w:styleId="Char2">
    <w:name w:val="Κείμενο υποσημείωσης Char"/>
    <w:basedOn w:val="a0"/>
    <w:link w:val="a9"/>
    <w:uiPriority w:val="99"/>
    <w:rsid w:val="0013221B"/>
    <w:rPr>
      <w:rFonts w:asciiTheme="minorHAnsi" w:eastAsiaTheme="minorHAnsi" w:hAnsiTheme="minorHAnsi" w:cstheme="minorBidi"/>
      <w:lang w:val="en-US" w:eastAsia="en-US"/>
    </w:rPr>
  </w:style>
  <w:style w:type="character" w:styleId="aa">
    <w:name w:val="footnote reference"/>
    <w:basedOn w:val="a0"/>
    <w:uiPriority w:val="99"/>
    <w:unhideWhenUsed/>
    <w:rsid w:val="0013221B"/>
    <w:rPr>
      <w:vertAlign w:val="superscript"/>
    </w:rPr>
  </w:style>
  <w:style w:type="character" w:styleId="ab">
    <w:name w:val="Strong"/>
    <w:basedOn w:val="a0"/>
    <w:uiPriority w:val="22"/>
    <w:qFormat/>
    <w:rsid w:val="00DE64A9"/>
    <w:rPr>
      <w:b/>
      <w:bCs/>
    </w:rPr>
  </w:style>
  <w:style w:type="paragraph" w:customStyle="1" w:styleId="wyq050---odeljak">
    <w:name w:val="wyq050---odeljak"/>
    <w:basedOn w:val="a"/>
    <w:rsid w:val="00DE64A9"/>
    <w:pPr>
      <w:spacing w:before="100" w:beforeAutospacing="1" w:after="100" w:afterAutospacing="1"/>
    </w:pPr>
    <w:rPr>
      <w:kern w:val="0"/>
      <w:lang w:val="en-US"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7715634">
      <w:bodyDiv w:val="1"/>
      <w:marLeft w:val="0"/>
      <w:marRight w:val="0"/>
      <w:marTop w:val="0"/>
      <w:marBottom w:val="0"/>
      <w:divBdr>
        <w:top w:val="none" w:sz="0" w:space="0" w:color="auto"/>
        <w:left w:val="none" w:sz="0" w:space="0" w:color="auto"/>
        <w:bottom w:val="none" w:sz="0" w:space="0" w:color="auto"/>
        <w:right w:val="none" w:sz="0" w:space="0" w:color="auto"/>
      </w:divBdr>
    </w:div>
    <w:div w:id="1982074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jpeg"/><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company/rokas-law-fir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roka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07373808-a26f-42a8-b3eb-fd017e1d72fe">6WNPX6TT7VPV-1664350215-463950</_dlc_DocId>
    <_dlc_DocIdUrl xmlns="07373808-a26f-42a8-b3eb-fd017e1d72fe">
      <Url>https://rokaslaw.sharepoint.com/sites/commonfiles/_layouts/15/DocIdRedir.aspx?ID=6WNPX6TT7VPV-1664350215-463950</Url>
      <Description>6WNPX6TT7VPV-1664350215-463950</Description>
    </_dlc_DocIdUrl>
    <lcf76f155ced4ddcb4097134ff3c332f xmlns="aba4ebed-5601-469d-a03b-67b9039d1904">
      <Terms xmlns="http://schemas.microsoft.com/office/infopath/2007/PartnerControls"/>
    </lcf76f155ced4ddcb4097134ff3c332f>
    <TaxCatchAll xmlns="07373808-a26f-42a8-b3eb-fd017e1d72f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B5859CAB6A1D64181E48CF43990205C" ma:contentTypeVersion="19" ma:contentTypeDescription="Create a new document." ma:contentTypeScope="" ma:versionID="0d2d2b0538640c7362ad6c055748919e">
  <xsd:schema xmlns:xsd="http://www.w3.org/2001/XMLSchema" xmlns:xs="http://www.w3.org/2001/XMLSchema" xmlns:p="http://schemas.microsoft.com/office/2006/metadata/properties" xmlns:ns2="07373808-a26f-42a8-b3eb-fd017e1d72fe" xmlns:ns3="aba4ebed-5601-469d-a03b-67b9039d1904" targetNamespace="http://schemas.microsoft.com/office/2006/metadata/properties" ma:root="true" ma:fieldsID="d63ce142b00fe015fafd2edfe03f777f" ns2:_="" ns3:_="">
    <xsd:import namespace="07373808-a26f-42a8-b3eb-fd017e1d72fe"/>
    <xsd:import namespace="aba4ebed-5601-469d-a03b-67b9039d190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2:SharedWithUsers" minOccurs="0"/>
                <xsd:element ref="ns2:SharedWithDetails" minOccurs="0"/>
                <xsd:element ref="ns3:MediaServiceAutoKeyPoints" minOccurs="0"/>
                <xsd:element ref="ns3:MediaServiceKeyPoint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373808-a26f-42a8-b3eb-fd017e1d72f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cd39218f-c314-4a67-9eae-8918b2c4bb33}" ma:internalName="TaxCatchAll" ma:showField="CatchAllData" ma:web="07373808-a26f-42a8-b3eb-fd017e1d72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a4ebed-5601-469d-a03b-67b9039d190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LengthInSeconds" ma:index="13" nillable="true" ma:displayName="Length (seconds)" ma:internalName="MediaLengthInSeconds" ma:readOnly="true">
      <xsd:simpleType>
        <xsd:restriction base="dms:Unknow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ServiceLocation" ma:index="23" nillable="true" ma:displayName="Location" ma:internalName="MediaServiceLocation" ma:readOnly="true">
      <xsd:simpleType>
        <xsd:restriction base="dms:Text"/>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a0ddb97d-2ec1-458b-9b21-9662d64b0a1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37591-6472-4F66-B23F-91E78AA716CD}">
  <ds:schemaRefs>
    <ds:schemaRef ds:uri="http://schemas.microsoft.com/sharepoint/v3/contenttype/forms"/>
  </ds:schemaRefs>
</ds:datastoreItem>
</file>

<file path=customXml/itemProps2.xml><?xml version="1.0" encoding="utf-8"?>
<ds:datastoreItem xmlns:ds="http://schemas.openxmlformats.org/officeDocument/2006/customXml" ds:itemID="{C1204171-283A-462C-83AB-15F056FCEFC6}">
  <ds:schemaRefs>
    <ds:schemaRef ds:uri="http://schemas.microsoft.com/office/2006/metadata/properties"/>
    <ds:schemaRef ds:uri="http://schemas.microsoft.com/office/infopath/2007/PartnerControls"/>
    <ds:schemaRef ds:uri="07373808-a26f-42a8-b3eb-fd017e1d72fe"/>
    <ds:schemaRef ds:uri="aba4ebed-5601-469d-a03b-67b9039d1904"/>
  </ds:schemaRefs>
</ds:datastoreItem>
</file>

<file path=customXml/itemProps3.xml><?xml version="1.0" encoding="utf-8"?>
<ds:datastoreItem xmlns:ds="http://schemas.openxmlformats.org/officeDocument/2006/customXml" ds:itemID="{EBAD0830-1F4C-4172-A00B-4E3902601C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373808-a26f-42a8-b3eb-fd017e1d72fe"/>
    <ds:schemaRef ds:uri="aba4ebed-5601-469d-a03b-67b9039d19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9163767-0F5B-4608-868B-99CB101F109A}">
  <ds:schemaRefs>
    <ds:schemaRef ds:uri="http://schemas.microsoft.com/sharepoint/events"/>
  </ds:schemaRefs>
</ds:datastoreItem>
</file>

<file path=customXml/itemProps5.xml><?xml version="1.0" encoding="utf-8"?>
<ds:datastoreItem xmlns:ds="http://schemas.openxmlformats.org/officeDocument/2006/customXml" ds:itemID="{428D83E3-776D-43ED-9273-73927AF81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885</Words>
  <Characters>4779</Characters>
  <Application>Microsoft Office Word</Application>
  <DocSecurity>0</DocSecurity>
  <Lines>39</Lines>
  <Paragraphs>11</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ROKAS</vt:lpstr>
      <vt:lpstr/>
    </vt:vector>
  </TitlesOfParts>
  <Company/>
  <LinksUpToDate>false</LinksUpToDate>
  <CharactersWithSpaces>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ROKAS</dc:title>
  <dc:subject>Articles for Lexology</dc:subject>
  <dc:creator>Valia Masoura</dc:creator>
  <cp:keywords/>
  <dc:description/>
  <cp:lastModifiedBy>RLF</cp:lastModifiedBy>
  <cp:revision>3</cp:revision>
  <cp:lastPrinted>2024-12-13T13:42:00Z</cp:lastPrinted>
  <dcterms:created xsi:type="dcterms:W3CDTF">2025-11-04T14:23:00Z</dcterms:created>
  <dcterms:modified xsi:type="dcterms:W3CDTF">2025-11-04T14:28:00Z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f14f7e4e-8f47-4a55-8240-222a80706cc1</vt:lpwstr>
  </property>
  <property fmtid="{D5CDD505-2E9C-101B-9397-08002B2CF9AE}" pid="3" name="ContentTypeId">
    <vt:lpwstr>0x010100AB5859CAB6A1D64181E48CF43990205C</vt:lpwstr>
  </property>
  <property fmtid="{D5CDD505-2E9C-101B-9397-08002B2CF9AE}" pid="4" name="_dlc_DocIdItemGuid">
    <vt:lpwstr>6a8e0f06-bd0f-402e-a448-7638d1041e35</vt:lpwstr>
  </property>
  <property fmtid="{D5CDD505-2E9C-101B-9397-08002B2CF9AE}" pid="5" name="MediaServiceImageTags">
    <vt:lpwstr/>
  </property>
</Properties>
</file>