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lang w:val="en-GB"/>
        </w:rPr>
        <w:id w:val="1667745439"/>
        <w:docPartObj>
          <w:docPartGallery w:val="Cover Pages"/>
          <w:docPartUnique/>
        </w:docPartObj>
      </w:sdtPr>
      <w:sdtContent>
        <w:p w14:paraId="185FB065" w14:textId="74350956" w:rsidR="00BD41B9" w:rsidRPr="00BC3D55" w:rsidRDefault="00BD41B9">
          <w:pPr>
            <w:rPr>
              <w:lang w:val="en-GB"/>
            </w:rPr>
          </w:pPr>
          <w:r w:rsidRPr="00BC3D55">
            <w:rPr>
              <w:noProof/>
              <w:lang w:val="en-GB"/>
            </w:rPr>
            <mc:AlternateContent>
              <mc:Choice Requires="wpg">
                <w:drawing>
                  <wp:anchor distT="0" distB="0" distL="114300" distR="114300" simplePos="0" relativeHeight="251659264" behindDoc="1" locked="0" layoutInCell="1" allowOverlap="1" wp14:anchorId="29FED947" wp14:editId="30E23051">
                    <wp:simplePos x="0" y="0"/>
                    <wp:positionH relativeFrom="page">
                      <wp:align>center</wp:align>
                    </wp:positionH>
                    <wp:positionV relativeFrom="page">
                      <wp:align>center</wp:align>
                    </wp:positionV>
                    <wp:extent cx="6858000" cy="9144000"/>
                    <wp:effectExtent l="0" t="0" r="2540" b="635"/>
                    <wp:wrapNone/>
                    <wp:docPr id="48" name="Group 14"/>
                    <wp:cNvGraphicFramePr/>
                    <a:graphic xmlns:a="http://schemas.openxmlformats.org/drawingml/2006/main">
                      <a:graphicData uri="http://schemas.microsoft.com/office/word/2010/wordprocessingGroup">
                        <wpg:wgp>
                          <wpg:cNvGrpSpPr/>
                          <wpg:grpSpPr>
                            <a:xfrm>
                              <a:off x="0" y="0"/>
                              <a:ext cx="6858000" cy="9144000"/>
                              <a:chOff x="0" y="0"/>
                              <a:chExt cx="6858000" cy="9144000"/>
                            </a:xfrm>
                          </wpg:grpSpPr>
                          <wpg:grpSp>
                            <wpg:cNvPr id="49" name="Group 49"/>
                            <wpg:cNvGrpSpPr/>
                            <wpg:grpSpPr>
                              <a:xfrm>
                                <a:off x="0" y="0"/>
                                <a:ext cx="6858000" cy="9144000"/>
                                <a:chOff x="0" y="0"/>
                                <a:chExt cx="6858000" cy="9144000"/>
                              </a:xfrm>
                            </wpg:grpSpPr>
                            <wps:wsp>
                              <wps:cNvPr id="54" name="Rectangle 54"/>
                              <wps:cNvSpPr/>
                              <wps:spPr>
                                <a:xfrm>
                                  <a:off x="0" y="0"/>
                                  <a:ext cx="6858000" cy="9144000"/>
                                </a:xfrm>
                                <a:prstGeom prst="rect">
                                  <a:avLst/>
                                </a:prstGeom>
                                <a:gradFill>
                                  <a:gsLst>
                                    <a:gs pos="10000">
                                      <a:schemeClr val="dk2">
                                        <a:tint val="97000"/>
                                        <a:hueMod val="92000"/>
                                        <a:satMod val="169000"/>
                                        <a:lumMod val="164000"/>
                                      </a:schemeClr>
                                    </a:gs>
                                    <a:gs pos="100000">
                                      <a:schemeClr val="dk2">
                                        <a:shade val="96000"/>
                                        <a:satMod val="120000"/>
                                        <a:lumMod val="90000"/>
                                      </a:schemeClr>
                                    </a:gs>
                                  </a:gsLst>
                                  <a:lin ang="6120000" scaled="1"/>
                                </a:gradFill>
                                <a:ln>
                                  <a:noFill/>
                                </a:ln>
                              </wps:spPr>
                              <wps:style>
                                <a:lnRef idx="2">
                                  <a:schemeClr val="accent1">
                                    <a:shade val="50000"/>
                                  </a:schemeClr>
                                </a:lnRef>
                                <a:fillRef idx="1002">
                                  <a:schemeClr val="dk2"/>
                                </a:fillRef>
                                <a:effectRef idx="0">
                                  <a:schemeClr val="accent1"/>
                                </a:effectRef>
                                <a:fontRef idx="minor">
                                  <a:schemeClr val="lt1"/>
                                </a:fontRef>
                              </wps:style>
                              <wps:txbx>
                                <w:txbxContent>
                                  <w:p w14:paraId="2D1A5A57" w14:textId="77777777" w:rsidR="00BD41B9" w:rsidRDefault="00BD41B9">
                                    <w:pPr>
                                      <w:pStyle w:val="a3"/>
                                      <w:rPr>
                                        <w:color w:val="FFFFFF" w:themeColor="background1"/>
                                        <w:sz w:val="48"/>
                                        <w:szCs w:val="48"/>
                                      </w:rPr>
                                    </w:pPr>
                                  </w:p>
                                </w:txbxContent>
                              </wps:txbx>
                              <wps:bodyPr rot="0" spcFirstLastPara="0" vertOverflow="overflow" horzOverflow="overflow" vert="horz" wrap="square" lIns="685800" tIns="685800" rIns="914400" bIns="4572000" numCol="1" spcCol="0" rtlCol="0" fromWordArt="0" anchor="t" anchorCtr="0" forceAA="0" compatLnSpc="1">
                                <a:prstTxWarp prst="textNoShape">
                                  <a:avLst/>
                                </a:prstTxWarp>
                                <a:noAutofit/>
                              </wps:bodyPr>
                            </wps:wsp>
                            <wpg:grpSp>
                              <wpg:cNvPr id="55" name="Group 2"/>
                              <wpg:cNvGrpSpPr/>
                              <wpg:grpSpPr>
                                <a:xfrm>
                                  <a:off x="2524125" y="0"/>
                                  <a:ext cx="4329113" cy="4491038"/>
                                  <a:chOff x="0" y="0"/>
                                  <a:chExt cx="4329113" cy="4491038"/>
                                </a:xfrm>
                                <a:solidFill>
                                  <a:schemeClr val="bg1"/>
                                </a:solidFill>
                              </wpg:grpSpPr>
                              <wps:wsp>
                                <wps:cNvPr id="56" name="Freeform 56"/>
                                <wps:cNvSpPr>
                                  <a:spLocks/>
                                </wps:cNvSpPr>
                                <wps:spPr bwMode="auto">
                                  <a:xfrm>
                                    <a:off x="1501775" y="0"/>
                                    <a:ext cx="2827338" cy="2835275"/>
                                  </a:xfrm>
                                  <a:custGeom>
                                    <a:avLst/>
                                    <a:gdLst>
                                      <a:gd name="T0" fmla="*/ 4 w 1781"/>
                                      <a:gd name="T1" fmla="*/ 1786 h 1786"/>
                                      <a:gd name="T2" fmla="*/ 0 w 1781"/>
                                      <a:gd name="T3" fmla="*/ 1782 h 1786"/>
                                      <a:gd name="T4" fmla="*/ 1776 w 1781"/>
                                      <a:gd name="T5" fmla="*/ 0 h 1786"/>
                                      <a:gd name="T6" fmla="*/ 1781 w 1781"/>
                                      <a:gd name="T7" fmla="*/ 5 h 1786"/>
                                      <a:gd name="T8" fmla="*/ 4 w 1781"/>
                                      <a:gd name="T9" fmla="*/ 1786 h 1786"/>
                                    </a:gdLst>
                                    <a:ahLst/>
                                    <a:cxnLst>
                                      <a:cxn ang="0">
                                        <a:pos x="T0" y="T1"/>
                                      </a:cxn>
                                      <a:cxn ang="0">
                                        <a:pos x="T2" y="T3"/>
                                      </a:cxn>
                                      <a:cxn ang="0">
                                        <a:pos x="T4" y="T5"/>
                                      </a:cxn>
                                      <a:cxn ang="0">
                                        <a:pos x="T6" y="T7"/>
                                      </a:cxn>
                                      <a:cxn ang="0">
                                        <a:pos x="T8" y="T9"/>
                                      </a:cxn>
                                    </a:cxnLst>
                                    <a:rect l="0" t="0" r="r" b="b"/>
                                    <a:pathLst>
                                      <a:path w="1781" h="1786">
                                        <a:moveTo>
                                          <a:pt x="4" y="1786"/>
                                        </a:moveTo>
                                        <a:lnTo>
                                          <a:pt x="0" y="1782"/>
                                        </a:lnTo>
                                        <a:lnTo>
                                          <a:pt x="1776" y="0"/>
                                        </a:lnTo>
                                        <a:lnTo>
                                          <a:pt x="1781" y="5"/>
                                        </a:lnTo>
                                        <a:lnTo>
                                          <a:pt x="4" y="178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7" name="Freeform 57"/>
                                <wps:cNvSpPr>
                                  <a:spLocks/>
                                </wps:cNvSpPr>
                                <wps:spPr bwMode="auto">
                                  <a:xfrm>
                                    <a:off x="782637" y="227013"/>
                                    <a:ext cx="3546475" cy="3546475"/>
                                  </a:xfrm>
                                  <a:custGeom>
                                    <a:avLst/>
                                    <a:gdLst>
                                      <a:gd name="T0" fmla="*/ 5 w 2234"/>
                                      <a:gd name="T1" fmla="*/ 2234 h 2234"/>
                                      <a:gd name="T2" fmla="*/ 0 w 2234"/>
                                      <a:gd name="T3" fmla="*/ 2229 h 2234"/>
                                      <a:gd name="T4" fmla="*/ 2229 w 2234"/>
                                      <a:gd name="T5" fmla="*/ 0 h 2234"/>
                                      <a:gd name="T6" fmla="*/ 2234 w 2234"/>
                                      <a:gd name="T7" fmla="*/ 5 h 2234"/>
                                      <a:gd name="T8" fmla="*/ 5 w 2234"/>
                                      <a:gd name="T9" fmla="*/ 2234 h 2234"/>
                                    </a:gdLst>
                                    <a:ahLst/>
                                    <a:cxnLst>
                                      <a:cxn ang="0">
                                        <a:pos x="T0" y="T1"/>
                                      </a:cxn>
                                      <a:cxn ang="0">
                                        <a:pos x="T2" y="T3"/>
                                      </a:cxn>
                                      <a:cxn ang="0">
                                        <a:pos x="T4" y="T5"/>
                                      </a:cxn>
                                      <a:cxn ang="0">
                                        <a:pos x="T6" y="T7"/>
                                      </a:cxn>
                                      <a:cxn ang="0">
                                        <a:pos x="T8" y="T9"/>
                                      </a:cxn>
                                    </a:cxnLst>
                                    <a:rect l="0" t="0" r="r" b="b"/>
                                    <a:pathLst>
                                      <a:path w="2234" h="2234">
                                        <a:moveTo>
                                          <a:pt x="5" y="2234"/>
                                        </a:moveTo>
                                        <a:lnTo>
                                          <a:pt x="0" y="2229"/>
                                        </a:lnTo>
                                        <a:lnTo>
                                          <a:pt x="2229" y="0"/>
                                        </a:lnTo>
                                        <a:lnTo>
                                          <a:pt x="2234" y="5"/>
                                        </a:lnTo>
                                        <a:lnTo>
                                          <a:pt x="5" y="2234"/>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8" name="Freeform 58"/>
                                <wps:cNvSpPr>
                                  <a:spLocks/>
                                </wps:cNvSpPr>
                                <wps:spPr bwMode="auto">
                                  <a:xfrm>
                                    <a:off x="841375" y="109538"/>
                                    <a:ext cx="3487738" cy="3487738"/>
                                  </a:xfrm>
                                  <a:custGeom>
                                    <a:avLst/>
                                    <a:gdLst>
                                      <a:gd name="T0" fmla="*/ 9 w 2197"/>
                                      <a:gd name="T1" fmla="*/ 2197 h 2197"/>
                                      <a:gd name="T2" fmla="*/ 0 w 2197"/>
                                      <a:gd name="T3" fmla="*/ 2193 h 2197"/>
                                      <a:gd name="T4" fmla="*/ 2188 w 2197"/>
                                      <a:gd name="T5" fmla="*/ 0 h 2197"/>
                                      <a:gd name="T6" fmla="*/ 2197 w 2197"/>
                                      <a:gd name="T7" fmla="*/ 10 h 2197"/>
                                      <a:gd name="T8" fmla="*/ 9 w 2197"/>
                                      <a:gd name="T9" fmla="*/ 2197 h 2197"/>
                                    </a:gdLst>
                                    <a:ahLst/>
                                    <a:cxnLst>
                                      <a:cxn ang="0">
                                        <a:pos x="T0" y="T1"/>
                                      </a:cxn>
                                      <a:cxn ang="0">
                                        <a:pos x="T2" y="T3"/>
                                      </a:cxn>
                                      <a:cxn ang="0">
                                        <a:pos x="T4" y="T5"/>
                                      </a:cxn>
                                      <a:cxn ang="0">
                                        <a:pos x="T6" y="T7"/>
                                      </a:cxn>
                                      <a:cxn ang="0">
                                        <a:pos x="T8" y="T9"/>
                                      </a:cxn>
                                    </a:cxnLst>
                                    <a:rect l="0" t="0" r="r" b="b"/>
                                    <a:pathLst>
                                      <a:path w="2197" h="2197">
                                        <a:moveTo>
                                          <a:pt x="9" y="2197"/>
                                        </a:moveTo>
                                        <a:lnTo>
                                          <a:pt x="0" y="2193"/>
                                        </a:lnTo>
                                        <a:lnTo>
                                          <a:pt x="2188" y="0"/>
                                        </a:lnTo>
                                        <a:lnTo>
                                          <a:pt x="2197" y="10"/>
                                        </a:lnTo>
                                        <a:lnTo>
                                          <a:pt x="9" y="2197"/>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9" name="Freeform 59"/>
                                <wps:cNvSpPr>
                                  <a:spLocks/>
                                </wps:cNvSpPr>
                                <wps:spPr bwMode="auto">
                                  <a:xfrm>
                                    <a:off x="1216025" y="498475"/>
                                    <a:ext cx="3113088" cy="3121025"/>
                                  </a:xfrm>
                                  <a:custGeom>
                                    <a:avLst/>
                                    <a:gdLst>
                                      <a:gd name="T0" fmla="*/ 9 w 1961"/>
                                      <a:gd name="T1" fmla="*/ 1966 h 1966"/>
                                      <a:gd name="T2" fmla="*/ 0 w 1961"/>
                                      <a:gd name="T3" fmla="*/ 1957 h 1966"/>
                                      <a:gd name="T4" fmla="*/ 1952 w 1961"/>
                                      <a:gd name="T5" fmla="*/ 0 h 1966"/>
                                      <a:gd name="T6" fmla="*/ 1961 w 1961"/>
                                      <a:gd name="T7" fmla="*/ 9 h 1966"/>
                                      <a:gd name="T8" fmla="*/ 9 w 1961"/>
                                      <a:gd name="T9" fmla="*/ 1966 h 1966"/>
                                    </a:gdLst>
                                    <a:ahLst/>
                                    <a:cxnLst>
                                      <a:cxn ang="0">
                                        <a:pos x="T0" y="T1"/>
                                      </a:cxn>
                                      <a:cxn ang="0">
                                        <a:pos x="T2" y="T3"/>
                                      </a:cxn>
                                      <a:cxn ang="0">
                                        <a:pos x="T4" y="T5"/>
                                      </a:cxn>
                                      <a:cxn ang="0">
                                        <a:pos x="T6" y="T7"/>
                                      </a:cxn>
                                      <a:cxn ang="0">
                                        <a:pos x="T8" y="T9"/>
                                      </a:cxn>
                                    </a:cxnLst>
                                    <a:rect l="0" t="0" r="r" b="b"/>
                                    <a:pathLst>
                                      <a:path w="1961" h="1966">
                                        <a:moveTo>
                                          <a:pt x="9" y="1966"/>
                                        </a:moveTo>
                                        <a:lnTo>
                                          <a:pt x="0" y="1957"/>
                                        </a:lnTo>
                                        <a:lnTo>
                                          <a:pt x="1952" y="0"/>
                                        </a:lnTo>
                                        <a:lnTo>
                                          <a:pt x="1961" y="9"/>
                                        </a:lnTo>
                                        <a:lnTo>
                                          <a:pt x="9" y="196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0" name="Freeform 60"/>
                                <wps:cNvSpPr>
                                  <a:spLocks/>
                                </wps:cNvSpPr>
                                <wps:spPr bwMode="auto">
                                  <a:xfrm>
                                    <a:off x="0" y="153988"/>
                                    <a:ext cx="4329113" cy="4337050"/>
                                  </a:xfrm>
                                  <a:custGeom>
                                    <a:avLst/>
                                    <a:gdLst>
                                      <a:gd name="T0" fmla="*/ 0 w 2727"/>
                                      <a:gd name="T1" fmla="*/ 2732 h 2732"/>
                                      <a:gd name="T2" fmla="*/ 0 w 2727"/>
                                      <a:gd name="T3" fmla="*/ 2728 h 2732"/>
                                      <a:gd name="T4" fmla="*/ 2722 w 2727"/>
                                      <a:gd name="T5" fmla="*/ 0 h 2732"/>
                                      <a:gd name="T6" fmla="*/ 2727 w 2727"/>
                                      <a:gd name="T7" fmla="*/ 5 h 2732"/>
                                      <a:gd name="T8" fmla="*/ 0 w 2727"/>
                                      <a:gd name="T9" fmla="*/ 2732 h 2732"/>
                                    </a:gdLst>
                                    <a:ahLst/>
                                    <a:cxnLst>
                                      <a:cxn ang="0">
                                        <a:pos x="T0" y="T1"/>
                                      </a:cxn>
                                      <a:cxn ang="0">
                                        <a:pos x="T2" y="T3"/>
                                      </a:cxn>
                                      <a:cxn ang="0">
                                        <a:pos x="T4" y="T5"/>
                                      </a:cxn>
                                      <a:cxn ang="0">
                                        <a:pos x="T6" y="T7"/>
                                      </a:cxn>
                                      <a:cxn ang="0">
                                        <a:pos x="T8" y="T9"/>
                                      </a:cxn>
                                    </a:cxnLst>
                                    <a:rect l="0" t="0" r="r" b="b"/>
                                    <a:pathLst>
                                      <a:path w="2727" h="2732">
                                        <a:moveTo>
                                          <a:pt x="0" y="2732"/>
                                        </a:moveTo>
                                        <a:lnTo>
                                          <a:pt x="0" y="2728"/>
                                        </a:lnTo>
                                        <a:lnTo>
                                          <a:pt x="2722" y="0"/>
                                        </a:lnTo>
                                        <a:lnTo>
                                          <a:pt x="2727" y="5"/>
                                        </a:lnTo>
                                        <a:lnTo>
                                          <a:pt x="0" y="2732"/>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grpSp>
                          </wpg:grpSp>
                          <wps:wsp>
                            <wps:cNvPr id="61" name="Text Box 61"/>
                            <wps:cNvSpPr txBox="1"/>
                            <wps:spPr>
                              <a:xfrm>
                                <a:off x="9518" y="4838700"/>
                                <a:ext cx="6843395" cy="378975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aps/>
                                      <w:color w:val="FFFFFF" w:themeColor="background1"/>
                                      <w:sz w:val="64"/>
                                      <w:szCs w:val="64"/>
                                    </w:rPr>
                                    <w:alias w:val="Title"/>
                                    <w:tag w:val=""/>
                                    <w:id w:val="1841046763"/>
                                    <w:dataBinding w:prefixMappings="xmlns:ns0='http://purl.org/dc/elements/1.1/' xmlns:ns1='http://schemas.openxmlformats.org/package/2006/metadata/core-properties' " w:xpath="/ns1:coreProperties[1]/ns0:title[1]" w:storeItemID="{6C3C8BC8-F283-45AE-878A-BAB7291924A1}"/>
                                    <w:text/>
                                  </w:sdtPr>
                                  <w:sdtContent>
                                    <w:p w14:paraId="4E2F1589" w14:textId="6B4FB4BE" w:rsidR="00BD41B9" w:rsidRDefault="00BD41B9">
                                      <w:pPr>
                                        <w:pStyle w:val="a3"/>
                                        <w:rPr>
                                          <w:rFonts w:asciiTheme="majorHAnsi" w:eastAsiaTheme="majorEastAsia" w:hAnsiTheme="majorHAnsi" w:cstheme="majorBidi"/>
                                          <w:caps/>
                                          <w:color w:val="FFFFFF" w:themeColor="background1"/>
                                          <w:sz w:val="64"/>
                                          <w:szCs w:val="64"/>
                                        </w:rPr>
                                      </w:pPr>
                                      <w:r>
                                        <w:rPr>
                                          <w:rFonts w:asciiTheme="majorHAnsi" w:eastAsiaTheme="majorEastAsia" w:hAnsiTheme="majorHAnsi" w:cstheme="majorBidi"/>
                                          <w:caps/>
                                          <w:color w:val="FFFFFF" w:themeColor="background1"/>
                                          <w:sz w:val="64"/>
                                          <w:szCs w:val="64"/>
                                        </w:rPr>
                                        <w:t>ROKAS</w:t>
                                      </w:r>
                                    </w:p>
                                  </w:sdtContent>
                                </w:sdt>
                                <w:sdt>
                                  <w:sdtPr>
                                    <w:rPr>
                                      <w:color w:val="FFFFFF" w:themeColor="background1"/>
                                      <w:sz w:val="36"/>
                                      <w:szCs w:val="36"/>
                                    </w:rPr>
                                    <w:alias w:val="Subtitle"/>
                                    <w:tag w:val=""/>
                                    <w:id w:val="-1686441493"/>
                                    <w:dataBinding w:prefixMappings="xmlns:ns0='http://purl.org/dc/elements/1.1/' xmlns:ns1='http://schemas.openxmlformats.org/package/2006/metadata/core-properties' " w:xpath="/ns1:coreProperties[1]/ns0:subject[1]" w:storeItemID="{6C3C8BC8-F283-45AE-878A-BAB7291924A1}"/>
                                    <w:text/>
                                  </w:sdtPr>
                                  <w:sdtContent>
                                    <w:p w14:paraId="7F5A08C0" w14:textId="2787CFC0" w:rsidR="00BD41B9" w:rsidRPr="006C37ED" w:rsidRDefault="0016312C">
                                      <w:pPr>
                                        <w:pStyle w:val="a3"/>
                                        <w:spacing w:before="120"/>
                                        <w:rPr>
                                          <w:color w:val="FFFFFF" w:themeColor="background1"/>
                                          <w:sz w:val="36"/>
                                          <w:szCs w:val="36"/>
                                        </w:rPr>
                                      </w:pPr>
                                      <w:r>
                                        <w:rPr>
                                          <w:color w:val="FFFFFF" w:themeColor="background1"/>
                                          <w:sz w:val="36"/>
                                          <w:szCs w:val="36"/>
                                        </w:rPr>
                                        <w:t>Articles for Lexology</w:t>
                                      </w:r>
                                    </w:p>
                                  </w:sdtContent>
                                </w:sdt>
                              </w:txbxContent>
                            </wps:txbx>
                            <wps:bodyPr rot="0" spcFirstLastPara="0" vertOverflow="overflow" horzOverflow="overflow" vert="horz" wrap="square" lIns="685800" tIns="0" rIns="914400" bIns="0" numCol="1" spcCol="0" rtlCol="0" fromWordArt="0" anchor="b"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w14:anchorId="29FED947" id="Group 14" o:spid="_x0000_s1026" style="position:absolute;margin-left:0;margin-top:0;width:540pt;height:10in;z-index:-251657216;mso-width-percent:882;mso-height-percent:909;mso-position-horizontal:center;mso-position-horizontal-relative:page;mso-position-vertical:center;mso-position-vertical-relative:page;mso-width-percent:882;mso-height-percent:909" coordsize="68580,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tqgwgAAIQrAAAOAAAAZHJzL2Uyb0RvYy54bWzsWluv2zYSfi+w/0HQ4wIbW3fJiFNk001Q&#10;INsGzVn0WUeWL4gsaiWd2Omv7zdDUqJlyT7JOU1S4LxIvIyGw+HMN0OKz3887gvrY143O1EubefZ&#10;3LbyMhOrXblZ2v+7ef2v2LaaNi1XaSHKfGl/yhv7xxf/+OH5oVrkrtiKYpXXFpiUzeJQLe1t21aL&#10;2azJtvk+bZ6JKi/RuRb1Pm1RrTezVZ0ewH1fzNz5PJwdRL2qapHlTYPWn2Sn/YL5r9d51v66Xjd5&#10;axVLG7K1/Kz5eUvP2Yvn6WJTp9V2lykx0i+QYp/uSgzasfopbVPrrt6dsdrvslo0Yt0+y8R+Jtbr&#10;XZbzHDAbZz6YzZta3FU8l83isKk6NUG1Az19Mdvsl49v6up99a6GJg7VBrrgGs3luK739IaU1pFV&#10;9qlTWX5srQyNYRzE8zk0m6EvcXyfKqzUbAvNn32Xbf9z5cuZHnh2Ik5XkWJC7ne1tVstbT+xrTLd&#10;w7ZYXRbqaip/o7nB+Jt+fZuHre/7bVrlbDbNotdT4Gs9/QavSMtNkVtoY10xXWcEzaKBPTzUArp1&#10;TBdV3bRvcrG3qLC0a4zPzpJ+fNu0EACkmkT50Or1rii43IBEFqxKQDEODGzOXzNG5K+K2vqYwrtX&#10;H1xubndlK1uSqDPG7V3+X7FSzcANZaNN2nbNTph07cXd3mjXNg0xuzFZ6E1zJtlF0ZptusqVEGE3&#10;2IkQJJsSzhSCROPmURnQuNF6KnalhcWFZzqSl9VkaZHDURxaayKt0069RUkzKAWpW/ZSCzxP2wCX&#10;2k9FTnRF+Vu+htPB76WuO3XISaVZlpetI1enn2swKTwzJM5rjN/xxhKPsqcVlkIqcvoyZ5Dvvh3V&#10;v5ZLftx9wQOLsu0+3u9KUY/ZVoFJqZElvdaR1AwpqT3eHkFCxVux+gRwqoWMNk2Vvd7B8N+mTfsu&#10;rRFeAJcIme2veKwLcVjaQpVsayvqP8baiR6ogF7bOiBcLe3m/3dpndtW8XMJt5A4jAB3Uqu5JmHZ&#10;tm655gcRO4BV3u1fCTiOgwhdZVyEYHVb6OK6FvvfEV5f0tDoSssMAiztVhdftTKSIjxn+cuXTISw&#10;VqXt2/J9lRFr0jH59s3x97SuFAC0iB6/CA1T6WKAA5KWvizFy7tWrHcMEr1qlfYBmUbMGsaFINB4&#10;J+MC2w5Fkc8IC27g+o4LRueBz/fcxHE8Gfh8P3HmXkw2ki6uBb6pL+GaOuI2oth1PjpwstuNtkWD&#10;ahgrv0Y8CbV+X9d5ThmaFYSkAVon6JjCCamjqd6K7END7nPSQxWKM9btAViL8J1iqdletBZU3uEE&#10;cyeKRhfBjd3Ig945+3BjL3BBRyP1qszuZOwhUbSdAQNXOqysVPJwAwNf7wt45z9nlm8dLCeKWdFE&#10;rGngKh0N+kNrS2Q8a5PMNcjmE6xgOSYrd4IVgrZBFoUT3KCdjmw+wQrr1dHQ5CZYRQZZMMEKGu9Y&#10;TekKaVlHM9AVBSG9AOlW5gDwm2OpFgUlGcMkmiPuUx5JKwQ/vNHmDyp2t3FirAERe8ocLhNDy0Ss&#10;becyMfRIxNG9OENTRMw5KabNnOVbzZWSoeHmpAZWL+1bGgDombakIl20EC5o9RAquBCyy+wRQW4E&#10;07SkKzkhbZsYsCcoSpNQ6hSEOrTqbv2umB8cUE5bJyG6W781GQmGCWtN6m79lmRn0unurBBNLv2X&#10;ps2O3M2f1GY4MzYqKmuhxISmfiWNUWH5WiTlaKkDKQdLBMU+jp6EUSBgH0Qnw+MjhkSGUDmR0yD4&#10;NQAfyCA3Wj3gsxOcwPojAD6MMfQwGOzIdaM5giw7gt5yeoEf+hQPaMupK9JodOQw7eTeoB8AEF3X&#10;4y2RieYm6FM/MHGMbAj6YzQm6Luum0ywMkGfycYFG4L+2Igm6LPw46yGoD/GygT9KV2ZoM/D9bqC&#10;+z6B/gNAn5eEQJ8LhHc9pktYlSmSXrqroE+WpWKYxl/9lvyYgLzwMuhLwa6C/pl0erAn0JfHNX1+&#10;iqXr90wK578V6MPrh6DP+5zHBv3YdzyV5DvzJNCbqQ70/TiKdKbvqcojgH5CoO8kHMcmQR/9hNQj&#10;ZGegP0JzAvpO4k2wOgF9J44nBDsD/ZERT0CfhB+fown6Du0axmZoov6Usk5Qn8brWT2hPlL+h6A+&#10;LS+jPhXGUB/Kp0SJuqU/9GFBI6yEc5nqg1DviXS3fivUh+0xyyuoz4JhZOcy3Zl4erQn2P+eYR/L&#10;NoR99V/lkQ93XCecqxM2P4kprz9N9nHGNieD5GTfcR0ifiTcd5Lw8glPEvIJD15SqP4gaIj7Y6xM&#10;3HeSgFARZGesTNwHmQuwHuM2xP0xVibuE48JVibu0xZkjNUQ9sdEMmGfeBisnmD/YbDP6uYTHrKY&#10;adjXS3c12ScDVH6jAVi/JeyT6d0D9qVggP3LWweJ+oZ0erAn1P+OUT9EijBAfTQBbR872VenjoGX&#10;ANpP8P7054jnRfNA5xcPOtyhY3g3ci/n+ZFHx/D4pcCHoeZ2YIj3Y6xMvEd/PMHKxHuQEd6PcRvi&#10;/ZhUJt4TjwlWJt7Tif4YKxPvp3Rl4j3xMFg94f3D8J4tgNN8Mr4xvFfZu7LNq3gPhuxZINTQq98q&#10;zYfp3QPvpWBXD3fOpNODPeH9l+F9/0OXz3/UvSyJxH/5VSGkxSoO3ND5y7/F0ZKZshEHrPaIdvrF&#10;r+LDxJ2hJHDkdtKPvRgXck7hPox9z0uAdZzeR3ESIQs5Te/1zSCLCtcvD3U/gcjw6WdZ6CGCkEd1&#10;PewT1CJvgmB3TiPS3OQcuDRy5+Ued0vGL7Tc48OvfaNl9UH/Rl1futHCN+y6Jf72F1uAM8a/ONTk&#10;nRYUjB9xn3eb5fZ7us3Cbo+rnrBHpB/yWirdJTXrbKuL7vLsiz8BAAD//wMAUEsDBBQABgAIAAAA&#10;IQCQ+IEL2gAAAAcBAAAPAAAAZHJzL2Rvd25yZXYueG1sTI9BT8MwDIXvSPyHyEjcWMI0TVNpOqFJ&#10;4wSHrbtw8xLTVmucqsm28u/xuMDFek/Pev5crqfQqwuNqYts4XlmQBG76DtuLBzq7dMKVMrIHvvI&#10;ZOGbEqyr+7sSCx+vvKPLPjdKSjgVaKHNeSi0Tq6lgGkWB2LJvuIYMIsdG+1HvEp56PXcmKUO2LFc&#10;aHGgTUvutD8HC6fdR6LNtm4OLrhuOb2/zT/rYO3jw/T6AirTlP+W4YYv6FAJ0zGe2SfVW5BH8u+8&#10;ZWZlxB9FLRaidFXq//zVDwAAAP//AwBQSwECLQAUAAYACAAAACEAtoM4kv4AAADhAQAAEwAAAAAA&#10;AAAAAAAAAAAAAAAAW0NvbnRlbnRfVHlwZXNdLnhtbFBLAQItABQABgAIAAAAIQA4/SH/1gAAAJQB&#10;AAALAAAAAAAAAAAAAAAAAC8BAABfcmVscy8ucmVsc1BLAQItABQABgAIAAAAIQB+2XtqgwgAAIQr&#10;AAAOAAAAAAAAAAAAAAAAAC4CAABkcnMvZTJvRG9jLnhtbFBLAQItABQABgAIAAAAIQCQ+IEL2gAA&#10;AAcBAAAPAAAAAAAAAAAAAAAAAN0KAABkcnMvZG93bnJldi54bWxQSwUGAAAAAAQABADzAAAA5AsA&#10;AAAA&#10;">
                    <v:group id="Group 49" o:spid="_x0000_s1027" style="position:absolute;width:68580;height:91440" coordsize="68580,9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rect id="Rectangle 54" o:spid="_x0000_s1028" style="position:absolute;width:68580;height:91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zIlxQAAANsAAAAPAAAAZHJzL2Rvd25yZXYueG1sRI9BawIx&#10;FITvBf9DeIK3mq22pWyNooK0eBFtBXt73Tw3wc3LuknX9d+bQqHHYWa+YSazzlWipSZYzwoehhkI&#10;4sJry6WCz4/V/QuIEJE1Vp5JwZUCzKa9uwnm2l94S+0uliJBOOSowMRY51KGwpDDMPQ1cfKOvnEY&#10;k2xKqRu8JLir5CjLnqVDy2nBYE1LQ8Vp9+MUbPft+GA26zdr7XjxffVy/XU+KjXod/NXEJG6+B/+&#10;a79rBU+P8Psl/QA5vQEAAP//AwBQSwECLQAUAAYACAAAACEA2+H2y+4AAACFAQAAEwAAAAAAAAAA&#10;AAAAAAAAAAAAW0NvbnRlbnRfVHlwZXNdLnhtbFBLAQItABQABgAIAAAAIQBa9CxbvwAAABUBAAAL&#10;AAAAAAAAAAAAAAAAAB8BAABfcmVscy8ucmVsc1BLAQItABQABgAIAAAAIQCGyzIlxQAAANsAAAAP&#10;AAAAAAAAAAAAAAAAAAcCAABkcnMvZG93bnJldi54bWxQSwUGAAAAAAMAAwC3AAAA+QIAAAAA&#10;" fillcolor="#485870 [3122]" stroked="f" strokeweight="1pt">
                        <v:fill color2="#3d4b5f [2882]" angle="348" colors="0 #88acbb;6554f #88acbb" focus="100%" type="gradient"/>
                        <v:textbox inset="54pt,54pt,1in,5in">
                          <w:txbxContent>
                            <w:p w14:paraId="2D1A5A57" w14:textId="77777777" w:rsidR="00BD41B9" w:rsidRDefault="00BD41B9">
                              <w:pPr>
                                <w:pStyle w:val="a3"/>
                                <w:rPr>
                                  <w:color w:val="FFFFFF" w:themeColor="background1"/>
                                  <w:sz w:val="48"/>
                                  <w:szCs w:val="48"/>
                                </w:rPr>
                              </w:pPr>
                            </w:p>
                          </w:txbxContent>
                        </v:textbox>
                      </v:rect>
                      <v:group id="Group 2" o:spid="_x0000_s1029" style="position:absolute;left:25241;width:43291;height:44910" coordsize="43291,44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shape id="Freeform 56" o:spid="_x0000_s1030" style="position:absolute;left:15017;width:28274;height:28352;visibility:visible;mso-wrap-style:square;v-text-anchor:top" coordsize="1781,1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SSBwwAAANsAAAAPAAAAZHJzL2Rvd25yZXYueG1sRI9BawIx&#10;FITvQv9DeIXeNFuhYlej2MK23mq3xfNj89wNbl62SVzXf28KgsdhZr5hluvBtqInH4xjBc+TDARx&#10;5bThWsHvTzGegwgRWWPrmBRcKMB69TBaYq7dmb+pL2MtEoRDjgqaGLtcylA1ZDFMXEecvIPzFmOS&#10;vpba4znBbSunWTaTFg2nhQY7em+oOpYnq6B/88NXdPttUZjdq+z1h/n73Cv19DhsFiAiDfEevrW3&#10;WsHLDP6/pB8gV1cAAAD//wMAUEsBAi0AFAAGAAgAAAAhANvh9svuAAAAhQEAABMAAAAAAAAAAAAA&#10;AAAAAAAAAFtDb250ZW50X1R5cGVzXS54bWxQSwECLQAUAAYACAAAACEAWvQsW78AAAAVAQAACwAA&#10;AAAAAAAAAAAAAAAfAQAAX3JlbHMvLnJlbHNQSwECLQAUAAYACAAAACEAkw0kgcMAAADbAAAADwAA&#10;AAAAAAAAAAAAAAAHAgAAZHJzL2Rvd25yZXYueG1sUEsFBgAAAAADAAMAtwAAAPcCAAAAAA==&#10;" path="m4,1786l,1782,1776,r5,5l4,1786xe" filled="f" stroked="f">
                          <v:path arrowok="t" o:connecttype="custom" o:connectlocs="6350,2835275;0,2828925;2819400,0;2827338,7938;6350,2835275" o:connectangles="0,0,0,0,0"/>
                        </v:shape>
                        <v:shape id="Freeform 57" o:spid="_x0000_s1031" style="position:absolute;left:7826;top:2270;width:35465;height:35464;visibility:visible;mso-wrap-style:square;v-text-anchor:top" coordsize="2234,2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GAJxQAAANsAAAAPAAAAZHJzL2Rvd25yZXYueG1sRI/RasJA&#10;FETfC/7DcoW+NRsttTV1FRHFPoil0Q+4zV6TYPZuzG5i2q93hUIfh5k5w8wWvalER40rLSsYRTEI&#10;4szqknMFx8Pm6Q2E88gaK8uk4IccLOaDhxkm2l75i7rU5yJA2CWooPC+TqR0WUEGXWRr4uCdbGPQ&#10;B9nkUjd4DXBTyXEcT6TBksNCgTWtCsrOaWsU9L/tdve5HtW7STV99t/yspruUanHYb98B+Gp9//h&#10;v/aHVvDyCvcv4QfI+Q0AAP//AwBQSwECLQAUAAYACAAAACEA2+H2y+4AAACFAQAAEwAAAAAAAAAA&#10;AAAAAAAAAAAAW0NvbnRlbnRfVHlwZXNdLnhtbFBLAQItABQABgAIAAAAIQBa9CxbvwAAABUBAAAL&#10;AAAAAAAAAAAAAAAAAB8BAABfcmVscy8ucmVsc1BLAQItABQABgAIAAAAIQAcaGAJxQAAANsAAAAP&#10;AAAAAAAAAAAAAAAAAAcCAABkcnMvZG93bnJldi54bWxQSwUGAAAAAAMAAwC3AAAA+QIAAAAA&#10;" path="m5,2234l,2229,2229,r5,5l5,2234xe" filled="f" stroked="f">
                          <v:path arrowok="t" o:connecttype="custom" o:connectlocs="7938,3546475;0,3538538;3538538,0;3546475,7938;7938,3546475" o:connectangles="0,0,0,0,0"/>
                        </v:shape>
                        <v:shape id="Freeform 58" o:spid="_x0000_s1032" style="position:absolute;left:8413;top:1095;width:34878;height:34877;visibility:visible;mso-wrap-style:square;v-text-anchor:top" coordsize="2197,2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4njwgAAANsAAAAPAAAAZHJzL2Rvd25yZXYueG1sRE9Na8JA&#10;EL0L/odlCr2I2ViwhugmSCFtr1VL8TZmxyQ0O5tmt0n8991DwePjfe/yybRioN41lhWsohgEcWl1&#10;w5WC07FYJiCcR9bYWiYFN3KQZ/PZDlNtR/6g4eArEULYpaig9r5LpXRlTQZdZDviwF1tb9AH2FdS&#10;9ziGcNPKpzh+lgYbDg01dvRSU/l9+DUKEnceN0f8eR28vK6axeWz+HorlHp8mPZbEJ4mfxf/u9+1&#10;gnUYG76EHyCzPwAAAP//AwBQSwECLQAUAAYACAAAACEA2+H2y+4AAACFAQAAEwAAAAAAAAAAAAAA&#10;AAAAAAAAW0NvbnRlbnRfVHlwZXNdLnhtbFBLAQItABQABgAIAAAAIQBa9CxbvwAAABUBAAALAAAA&#10;AAAAAAAAAAAAAB8BAABfcmVscy8ucmVsc1BLAQItABQABgAIAAAAIQDUx4njwgAAANsAAAAPAAAA&#10;AAAAAAAAAAAAAAcCAABkcnMvZG93bnJldi54bWxQSwUGAAAAAAMAAwC3AAAA9gIAAAAA&#10;" path="m9,2197l,2193,2188,r9,10l9,2197xe" filled="f" stroked="f">
                          <v:path arrowok="t" o:connecttype="custom" o:connectlocs="14288,3487738;0,3481388;3473450,0;3487738,15875;14288,3487738" o:connectangles="0,0,0,0,0"/>
                        </v:shape>
                        <v:shape id="Freeform 59" o:spid="_x0000_s1033" style="position:absolute;left:12160;top:4984;width:31131;height:31211;visibility:visible;mso-wrap-style:square;v-text-anchor:top" coordsize="1961,1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fa1wwAAANsAAAAPAAAAZHJzL2Rvd25yZXYueG1sRI/BagIx&#10;EIbvgu8QRuhNs0or7moUaVGk0INa6HXcTDdLN5Mlie769k2h4HH45//mm9Wmt424kQ+1YwXTSQaC&#10;uHS65krB53k3XoAIEVlj45gU3CnAZj0crLDQruMj3U6xEgnCoUAFJsa2kDKUhiyGiWuJU/btvMWY&#10;Rl9J7bFLcNvIWZbNpcWa0wWDLb0aKn9OV5s0vmZv+2cjL8lqnn0c97l/73Klnkb9dgkiUh8fy//t&#10;g1bwksPfLwkAcv0LAAD//wMAUEsBAi0AFAAGAAgAAAAhANvh9svuAAAAhQEAABMAAAAAAAAAAAAA&#10;AAAAAAAAAFtDb250ZW50X1R5cGVzXS54bWxQSwECLQAUAAYACAAAACEAWvQsW78AAAAVAQAACwAA&#10;AAAAAAAAAAAAAAAfAQAAX3JlbHMvLnJlbHNQSwECLQAUAAYACAAAACEADY32tcMAAADbAAAADwAA&#10;AAAAAAAAAAAAAAAHAgAAZHJzL2Rvd25yZXYueG1sUEsFBgAAAAADAAMAtwAAAPcCAAAAAA==&#10;" path="m9,1966l,1957,1952,r9,9l9,1966xe" filled="f" stroked="f">
                          <v:path arrowok="t" o:connecttype="custom" o:connectlocs="14288,3121025;0,3106738;3098800,0;3113088,14288;14288,3121025" o:connectangles="0,0,0,0,0"/>
                        </v:shape>
                        <v:shape id="Freeform 60" o:spid="_x0000_s1034" style="position:absolute;top:1539;width:43291;height:43371;visibility:visible;mso-wrap-style:square;v-text-anchor:top" coordsize="2727,2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0/huwAAANsAAAAPAAAAZHJzL2Rvd25yZXYueG1sRE9LCsIw&#10;EN0L3iGM4E5TXZRSjaUIgi79HGBopm2wmZQmavX0ZiG4fLz/thhtJ540eONYwWqZgCCunDbcKLhd&#10;D4sMhA/IGjvHpOBNHorddLLFXLsXn+l5CY2IIexzVNCG0OdS+qoli37peuLI1W6wGCIcGqkHfMVw&#10;28l1kqTSouHY0GJP+5aq++VhFSRmferOaW20rLP7zZyyY/mplJrPxnIDItAY/uKf+6gVpHF9/BJ/&#10;gNx9AQAA//8DAFBLAQItABQABgAIAAAAIQDb4fbL7gAAAIUBAAATAAAAAAAAAAAAAAAAAAAAAABb&#10;Q29udGVudF9UeXBlc10ueG1sUEsBAi0AFAAGAAgAAAAhAFr0LFu/AAAAFQEAAAsAAAAAAAAAAAAA&#10;AAAAHwEAAF9yZWxzLy5yZWxzUEsBAi0AFAAGAAgAAAAhAK+LT+G7AAAA2wAAAA8AAAAAAAAAAAAA&#10;AAAABwIAAGRycy9kb3ducmV2LnhtbFBLBQYAAAAAAwADALcAAADvAgAAAAA=&#10;" path="m,2732r,-4l2722,r5,5l,2732xe" filled="f" stroked="f">
                          <v:path arrowok="t" o:connecttype="custom" o:connectlocs="0,4337050;0,4330700;4321175,0;4329113,7938;0,4337050" o:connectangles="0,0,0,0,0"/>
                        </v:shape>
                      </v:group>
                    </v:group>
                    <v:shapetype id="_x0000_t202" coordsize="21600,21600" o:spt="202" path="m,l,21600r21600,l21600,xe">
                      <v:stroke joinstyle="miter"/>
                      <v:path gradientshapeok="t" o:connecttype="rect"/>
                    </v:shapetype>
                    <v:shape id="Text Box 61" o:spid="_x0000_s1035" type="#_x0000_t202" style="position:absolute;left:95;top:48387;width:68434;height:37897;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1FwwAAANsAAAAPAAAAZHJzL2Rvd25yZXYueG1sRI/NasMw&#10;EITvhb6D2EJvtZweQnGjhJCQOsfmr/S4WFtLxFo5lmq7b18FAjkOM/MNM1uMrhE9dcF6VjDJchDE&#10;ldeWawXHw+blDUSIyBobz6TgjwIs5o8PMyy0H3hH/T7WIkE4FKjAxNgWUobKkMOQ+ZY4eT++cxiT&#10;7GqpOxwS3DXyNc+n0qHltGCwpZWh6rz/dQoG7q0tZbP+kp/56bv8MNtLuVPq+WlcvoOINMZ7+Nbe&#10;agXTCVy/pB8g5/8AAAD//wMAUEsBAi0AFAAGAAgAAAAhANvh9svuAAAAhQEAABMAAAAAAAAAAAAA&#10;AAAAAAAAAFtDb250ZW50X1R5cGVzXS54bWxQSwECLQAUAAYACAAAACEAWvQsW78AAAAVAQAACwAA&#10;AAAAAAAAAAAAAAAfAQAAX3JlbHMvLnJlbHNQSwECLQAUAAYACAAAACEAmPitRcMAAADbAAAADwAA&#10;AAAAAAAAAAAAAAAHAgAAZHJzL2Rvd25yZXYueG1sUEsFBgAAAAADAAMAtwAAAPcCAAAAAA==&#10;" filled="f" stroked="f" strokeweight=".5pt">
                      <v:textbox inset="54pt,0,1in,0">
                        <w:txbxContent>
                          <w:sdt>
                            <w:sdtPr>
                              <w:rPr>
                                <w:rFonts w:asciiTheme="majorHAnsi" w:eastAsiaTheme="majorEastAsia" w:hAnsiTheme="majorHAnsi" w:cstheme="majorBidi"/>
                                <w:caps/>
                                <w:color w:val="FFFFFF" w:themeColor="background1"/>
                                <w:sz w:val="64"/>
                                <w:szCs w:val="64"/>
                              </w:rPr>
                              <w:alias w:val="Title"/>
                              <w:tag w:val=""/>
                              <w:id w:val="1841046763"/>
                              <w:dataBinding w:prefixMappings="xmlns:ns0='http://purl.org/dc/elements/1.1/' xmlns:ns1='http://schemas.openxmlformats.org/package/2006/metadata/core-properties' " w:xpath="/ns1:coreProperties[1]/ns0:title[1]" w:storeItemID="{6C3C8BC8-F283-45AE-878A-BAB7291924A1}"/>
                              <w:text/>
                            </w:sdtPr>
                            <w:sdtContent>
                              <w:p w14:paraId="4E2F1589" w14:textId="6B4FB4BE" w:rsidR="00BD41B9" w:rsidRDefault="00BD41B9">
                                <w:pPr>
                                  <w:pStyle w:val="a3"/>
                                  <w:rPr>
                                    <w:rFonts w:asciiTheme="majorHAnsi" w:eastAsiaTheme="majorEastAsia" w:hAnsiTheme="majorHAnsi" w:cstheme="majorBidi"/>
                                    <w:caps/>
                                    <w:color w:val="FFFFFF" w:themeColor="background1"/>
                                    <w:sz w:val="64"/>
                                    <w:szCs w:val="64"/>
                                  </w:rPr>
                                </w:pPr>
                                <w:r>
                                  <w:rPr>
                                    <w:rFonts w:asciiTheme="majorHAnsi" w:eastAsiaTheme="majorEastAsia" w:hAnsiTheme="majorHAnsi" w:cstheme="majorBidi"/>
                                    <w:caps/>
                                    <w:color w:val="FFFFFF" w:themeColor="background1"/>
                                    <w:sz w:val="64"/>
                                    <w:szCs w:val="64"/>
                                  </w:rPr>
                                  <w:t>ROKAS</w:t>
                                </w:r>
                              </w:p>
                            </w:sdtContent>
                          </w:sdt>
                          <w:sdt>
                            <w:sdtPr>
                              <w:rPr>
                                <w:color w:val="FFFFFF" w:themeColor="background1"/>
                                <w:sz w:val="36"/>
                                <w:szCs w:val="36"/>
                              </w:rPr>
                              <w:alias w:val="Subtitle"/>
                              <w:tag w:val=""/>
                              <w:id w:val="-1686441493"/>
                              <w:dataBinding w:prefixMappings="xmlns:ns0='http://purl.org/dc/elements/1.1/' xmlns:ns1='http://schemas.openxmlformats.org/package/2006/metadata/core-properties' " w:xpath="/ns1:coreProperties[1]/ns0:subject[1]" w:storeItemID="{6C3C8BC8-F283-45AE-878A-BAB7291924A1}"/>
                              <w:text/>
                            </w:sdtPr>
                            <w:sdtContent>
                              <w:p w14:paraId="7F5A08C0" w14:textId="2787CFC0" w:rsidR="00BD41B9" w:rsidRPr="006C37ED" w:rsidRDefault="0016312C">
                                <w:pPr>
                                  <w:pStyle w:val="a3"/>
                                  <w:spacing w:before="120"/>
                                  <w:rPr>
                                    <w:color w:val="FFFFFF" w:themeColor="background1"/>
                                    <w:sz w:val="36"/>
                                    <w:szCs w:val="36"/>
                                  </w:rPr>
                                </w:pPr>
                                <w:r>
                                  <w:rPr>
                                    <w:color w:val="FFFFFF" w:themeColor="background1"/>
                                    <w:sz w:val="36"/>
                                    <w:szCs w:val="36"/>
                                  </w:rPr>
                                  <w:t>Articles for Lexology</w:t>
                                </w:r>
                              </w:p>
                            </w:sdtContent>
                          </w:sdt>
                        </w:txbxContent>
                      </v:textbox>
                    </v:shape>
                    <w10:wrap anchorx="page" anchory="page"/>
                  </v:group>
                </w:pict>
              </mc:Fallback>
            </mc:AlternateContent>
          </w:r>
        </w:p>
        <w:p w14:paraId="5452FFCD" w14:textId="70645DC1" w:rsidR="00BD41B9" w:rsidRPr="00BC3D55" w:rsidRDefault="00BD41B9">
          <w:pPr>
            <w:rPr>
              <w:lang w:val="en-GB"/>
            </w:rPr>
          </w:pPr>
          <w:r w:rsidRPr="00BC3D55">
            <w:rPr>
              <w:lang w:val="en-GB"/>
            </w:rPr>
            <w:br w:type="page"/>
          </w:r>
        </w:p>
      </w:sdtContent>
    </w:sdt>
    <w:p w14:paraId="79791DE1" w14:textId="2B1ED9CB" w:rsidR="00982DA4" w:rsidRPr="00BC3D55" w:rsidRDefault="00982DA4" w:rsidP="00982DA4">
      <w:pPr>
        <w:pStyle w:val="a5"/>
        <w:rPr>
          <w:lang w:val="en-GB"/>
        </w:rPr>
      </w:pPr>
      <w:r w:rsidRPr="00BC3D55">
        <w:rPr>
          <w:lang w:val="en-GB"/>
        </w:rPr>
        <w:lastRenderedPageBreak/>
        <w:tab/>
      </w:r>
    </w:p>
    <w:p w14:paraId="645B4411" w14:textId="48FE1516" w:rsidR="0057253D" w:rsidRPr="00BC3D55" w:rsidRDefault="00982DA4" w:rsidP="00925F07">
      <w:pPr>
        <w:ind w:left="5040" w:firstLine="720"/>
        <w:jc w:val="right"/>
        <w:rPr>
          <w:lang w:val="en-GB"/>
        </w:rPr>
      </w:pPr>
      <w:r w:rsidRPr="00BC3D55">
        <w:rPr>
          <w:rFonts w:asciiTheme="minorHAnsi" w:hAnsiTheme="minorHAnsi" w:cstheme="minorHAnsi"/>
          <w:lang w:val="en-GB"/>
        </w:rPr>
        <w:t xml:space="preserve">Date: </w:t>
      </w:r>
      <w:r w:rsidR="004A58F8">
        <w:rPr>
          <w:rFonts w:asciiTheme="minorHAnsi" w:hAnsiTheme="minorHAnsi" w:cstheme="minorHAnsi"/>
        </w:rPr>
        <w:t>19</w:t>
      </w:r>
      <w:r w:rsidR="002C5529" w:rsidRPr="00BC3D55">
        <w:rPr>
          <w:rFonts w:asciiTheme="minorHAnsi" w:hAnsiTheme="minorHAnsi" w:cstheme="minorHAnsi"/>
          <w:lang w:val="en-GB"/>
        </w:rPr>
        <w:t>/</w:t>
      </w:r>
      <w:r w:rsidR="00DE5DF9" w:rsidRPr="00BC3D55">
        <w:rPr>
          <w:rFonts w:asciiTheme="minorHAnsi" w:hAnsiTheme="minorHAnsi" w:cstheme="minorHAnsi"/>
          <w:lang w:val="en-GB"/>
        </w:rPr>
        <w:t>11</w:t>
      </w:r>
      <w:r w:rsidR="002C5529" w:rsidRPr="00BC3D55">
        <w:rPr>
          <w:rFonts w:asciiTheme="minorHAnsi" w:hAnsiTheme="minorHAnsi" w:cstheme="minorHAnsi"/>
          <w:lang w:val="en-GB"/>
        </w:rPr>
        <w:t>/2025</w:t>
      </w:r>
      <w:r w:rsidRPr="00BC3D55">
        <w:rPr>
          <w:lang w:val="en-GB"/>
        </w:rPr>
        <w:t xml:space="preserve">  </w:t>
      </w:r>
    </w:p>
    <w:p w14:paraId="1203988C" w14:textId="32A44E44" w:rsidR="00982DA4" w:rsidRPr="00BC3D55" w:rsidRDefault="00982DA4" w:rsidP="00CC23DB">
      <w:pPr>
        <w:ind w:left="5040" w:firstLine="720"/>
        <w:rPr>
          <w:lang w:val="en-GB"/>
        </w:rPr>
      </w:pPr>
      <w:r w:rsidRPr="00BC3D55">
        <w:rPr>
          <w:lang w:val="en-GB"/>
        </w:rPr>
        <w:t xml:space="preserve">                                                                                     </w:t>
      </w:r>
    </w:p>
    <w:p w14:paraId="69CB01C7" w14:textId="29204745" w:rsidR="0057253D" w:rsidRPr="00BC3D55" w:rsidRDefault="00E72AEB" w:rsidP="00925F07">
      <w:pPr>
        <w:jc w:val="center"/>
        <w:rPr>
          <w:rFonts w:asciiTheme="minorHAnsi" w:hAnsiTheme="minorHAnsi" w:cstheme="minorHAnsi"/>
          <w:b/>
          <w:bCs/>
          <w:lang w:val="en-GB"/>
        </w:rPr>
      </w:pPr>
      <w:r w:rsidRPr="00BC3D55">
        <w:rPr>
          <w:rFonts w:asciiTheme="minorHAnsi" w:hAnsiTheme="minorHAnsi" w:cstheme="minorHAnsi"/>
          <w:b/>
          <w:bCs/>
          <w:lang w:val="en-GB"/>
        </w:rPr>
        <w:t xml:space="preserve">Topic: </w:t>
      </w:r>
      <w:r w:rsidR="0057253D" w:rsidRPr="00BC3D55">
        <w:rPr>
          <w:rFonts w:asciiTheme="minorHAnsi" w:hAnsiTheme="minorHAnsi" w:cstheme="minorHAnsi"/>
          <w:b/>
          <w:bCs/>
          <w:lang w:val="en-GB"/>
        </w:rPr>
        <w:t>“</w:t>
      </w:r>
      <w:r w:rsidR="004A58F8" w:rsidRPr="004A58F8">
        <w:rPr>
          <w:rFonts w:asciiTheme="minorHAnsi" w:hAnsiTheme="minorHAnsi" w:cstheme="minorHAnsi"/>
          <w:b/>
          <w:bCs/>
          <w:lang w:val="en-GB"/>
        </w:rPr>
        <w:t>Europe’s New Energy Arteries: ACER’s Roadmap for the TEN-E Revision</w:t>
      </w:r>
      <w:r w:rsidR="0057253D" w:rsidRPr="00BC3D55">
        <w:rPr>
          <w:rFonts w:asciiTheme="minorHAnsi" w:hAnsiTheme="minorHAnsi" w:cstheme="minorHAnsi"/>
          <w:b/>
          <w:bCs/>
          <w:lang w:val="en-GB"/>
        </w:rPr>
        <w:t>”</w:t>
      </w:r>
    </w:p>
    <w:p w14:paraId="42B39F3D" w14:textId="4E7BE705" w:rsidR="00982DA4" w:rsidRPr="00BC3D55" w:rsidRDefault="00982DA4" w:rsidP="0057253D">
      <w:pPr>
        <w:pStyle w:val="a5"/>
        <w:jc w:val="center"/>
        <w:rPr>
          <w:lang w:val="en-GB"/>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8"/>
        <w:gridCol w:w="4158"/>
      </w:tblGrid>
      <w:tr w:rsidR="00BC3D55" w:rsidRPr="00BC3D55" w14:paraId="23A9C4D3" w14:textId="77777777" w:rsidTr="0024220E">
        <w:tc>
          <w:tcPr>
            <w:tcW w:w="4148" w:type="dxa"/>
          </w:tcPr>
          <w:p w14:paraId="166D7E7F" w14:textId="5FB72334" w:rsidR="00F21283" w:rsidRPr="00BC3D55" w:rsidRDefault="00F21283" w:rsidP="00F21283">
            <w:pPr>
              <w:rPr>
                <w:lang w:val="en-GB"/>
              </w:rPr>
            </w:pPr>
          </w:p>
        </w:tc>
        <w:tc>
          <w:tcPr>
            <w:tcW w:w="4158" w:type="dxa"/>
            <w:vMerge w:val="restart"/>
          </w:tcPr>
          <w:p w14:paraId="2E9B2841" w14:textId="77777777" w:rsidR="00BC3D55" w:rsidRPr="00BC3D55" w:rsidRDefault="00BC3D55" w:rsidP="001B246B">
            <w:pPr>
              <w:jc w:val="center"/>
              <w:rPr>
                <w:lang w:val="en-GB"/>
              </w:rPr>
            </w:pPr>
          </w:p>
          <w:p w14:paraId="44C1E8BB" w14:textId="77777777" w:rsidR="00BC3D55" w:rsidRPr="00BC3D55" w:rsidRDefault="00BC3D55" w:rsidP="001B246B">
            <w:pPr>
              <w:jc w:val="center"/>
              <w:rPr>
                <w:lang w:val="en-GB"/>
              </w:rPr>
            </w:pPr>
          </w:p>
          <w:p w14:paraId="12D23601" w14:textId="77777777" w:rsidR="00B954CB" w:rsidRPr="00BC3D55" w:rsidRDefault="00B954CB" w:rsidP="001B246B">
            <w:pPr>
              <w:jc w:val="center"/>
              <w:rPr>
                <w:lang w:val="en-GB"/>
              </w:rPr>
            </w:pPr>
          </w:p>
          <w:p w14:paraId="42EF6200" w14:textId="78222E30" w:rsidR="00C252BC" w:rsidRPr="00BC3D55" w:rsidRDefault="00C252BC" w:rsidP="001B246B">
            <w:pPr>
              <w:jc w:val="center"/>
              <w:rPr>
                <w:lang w:val="en-GB"/>
              </w:rPr>
            </w:pPr>
          </w:p>
          <w:p w14:paraId="3F4D45EA" w14:textId="18594338" w:rsidR="002C5529" w:rsidRPr="00BC3D55" w:rsidRDefault="00484E56" w:rsidP="001B246B">
            <w:pPr>
              <w:jc w:val="center"/>
              <w:rPr>
                <w:lang w:val="en-GB"/>
              </w:rPr>
            </w:pPr>
            <w:r>
              <w:rPr>
                <w:noProof/>
              </w:rPr>
              <w:drawing>
                <wp:inline distT="0" distB="0" distL="0" distR="0" wp14:anchorId="3374879F" wp14:editId="0AF1C446">
                  <wp:extent cx="1403610" cy="1415139"/>
                  <wp:effectExtent l="0" t="0" r="6350" b="0"/>
                  <wp:docPr id="1501903066"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903066" name=""/>
                          <pic:cNvPicPr/>
                        </pic:nvPicPr>
                        <pic:blipFill>
                          <a:blip r:embed="rId12"/>
                          <a:stretch>
                            <a:fillRect/>
                          </a:stretch>
                        </pic:blipFill>
                        <pic:spPr>
                          <a:xfrm>
                            <a:off x="0" y="0"/>
                            <a:ext cx="1424794" cy="1436497"/>
                          </a:xfrm>
                          <a:prstGeom prst="rect">
                            <a:avLst/>
                          </a:prstGeom>
                        </pic:spPr>
                      </pic:pic>
                    </a:graphicData>
                  </a:graphic>
                </wp:inline>
              </w:drawing>
            </w:r>
          </w:p>
          <w:p w14:paraId="52BF8793" w14:textId="77777777" w:rsidR="002C5529" w:rsidRPr="00BC3D55" w:rsidRDefault="002C5529" w:rsidP="001B246B">
            <w:pPr>
              <w:jc w:val="center"/>
              <w:rPr>
                <w:lang w:val="en-GB"/>
              </w:rPr>
            </w:pPr>
          </w:p>
          <w:p w14:paraId="4C395A88" w14:textId="77777777" w:rsidR="002C5529" w:rsidRPr="00BC3D55" w:rsidRDefault="002C5529" w:rsidP="001B246B">
            <w:pPr>
              <w:jc w:val="center"/>
              <w:rPr>
                <w:lang w:val="en-GB"/>
              </w:rPr>
            </w:pPr>
          </w:p>
          <w:p w14:paraId="3D8682FD" w14:textId="77777777" w:rsidR="00DE5DF9" w:rsidRPr="00BC3D55" w:rsidRDefault="00DE5DF9" w:rsidP="001B246B">
            <w:pPr>
              <w:jc w:val="center"/>
              <w:rPr>
                <w:lang w:val="en-GB"/>
              </w:rPr>
            </w:pPr>
          </w:p>
          <w:p w14:paraId="019A9DF1" w14:textId="71392F85" w:rsidR="00DE5DF9" w:rsidRPr="00BC3D55" w:rsidRDefault="00925F07" w:rsidP="001B246B">
            <w:pPr>
              <w:jc w:val="center"/>
              <w:rPr>
                <w:lang w:val="en-GB"/>
              </w:rPr>
            </w:pPr>
            <w:r>
              <w:rPr>
                <w:noProof/>
              </w:rPr>
              <w:drawing>
                <wp:inline distT="0" distB="0" distL="0" distR="0" wp14:anchorId="5D24CEC4" wp14:editId="629A1D93">
                  <wp:extent cx="1272844" cy="1430941"/>
                  <wp:effectExtent l="0" t="0" r="3810" b="0"/>
                  <wp:docPr id="1625500476"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81443" cy="1440608"/>
                          </a:xfrm>
                          <a:prstGeom prst="rect">
                            <a:avLst/>
                          </a:prstGeom>
                          <a:noFill/>
                          <a:ln>
                            <a:noFill/>
                          </a:ln>
                        </pic:spPr>
                      </pic:pic>
                    </a:graphicData>
                  </a:graphic>
                </wp:inline>
              </w:drawing>
            </w:r>
          </w:p>
        </w:tc>
      </w:tr>
      <w:tr w:rsidR="00BC3D55" w:rsidRPr="00BC3D55" w14:paraId="1EF58878" w14:textId="77777777" w:rsidTr="0024220E">
        <w:trPr>
          <w:trHeight w:val="6080"/>
        </w:trPr>
        <w:tc>
          <w:tcPr>
            <w:tcW w:w="4148" w:type="dxa"/>
          </w:tcPr>
          <w:p w14:paraId="67280E8A" w14:textId="77777777" w:rsidR="00F21283" w:rsidRPr="00BC3D55" w:rsidRDefault="00F21283" w:rsidP="00F21283">
            <w:pPr>
              <w:rPr>
                <w:rFonts w:asciiTheme="minorHAnsi" w:hAnsiTheme="minorHAnsi" w:cstheme="minorHAnsi"/>
                <w:lang w:val="en-GB"/>
              </w:rPr>
            </w:pPr>
          </w:p>
          <w:p w14:paraId="5A2D9F34" w14:textId="77777777" w:rsidR="00B954CB" w:rsidRPr="00BC3D55" w:rsidRDefault="00B954CB" w:rsidP="00F21283">
            <w:pPr>
              <w:rPr>
                <w:rFonts w:asciiTheme="minorHAnsi" w:hAnsiTheme="minorHAnsi" w:cstheme="minorHAnsi"/>
                <w:b/>
                <w:bCs/>
                <w:lang w:val="en-GB"/>
              </w:rPr>
            </w:pPr>
          </w:p>
          <w:p w14:paraId="2303B6C4" w14:textId="77777777" w:rsidR="00B954CB" w:rsidRPr="00BC3D55" w:rsidRDefault="00B954CB" w:rsidP="00F21283">
            <w:pPr>
              <w:rPr>
                <w:rFonts w:asciiTheme="minorHAnsi" w:hAnsiTheme="minorHAnsi" w:cstheme="minorHAnsi"/>
                <w:b/>
                <w:bCs/>
                <w:lang w:val="en-GB"/>
              </w:rPr>
            </w:pPr>
          </w:p>
          <w:p w14:paraId="239261AE" w14:textId="77777777" w:rsidR="00B954CB" w:rsidRPr="00BC3D55" w:rsidRDefault="00B954CB" w:rsidP="00F21283">
            <w:pPr>
              <w:rPr>
                <w:rFonts w:asciiTheme="minorHAnsi" w:hAnsiTheme="minorHAnsi" w:cstheme="minorHAnsi"/>
                <w:b/>
                <w:bCs/>
                <w:lang w:val="en-GB"/>
              </w:rPr>
            </w:pPr>
          </w:p>
          <w:p w14:paraId="49346FAD" w14:textId="770A9017" w:rsidR="005D0A40" w:rsidRPr="00BC3D55" w:rsidRDefault="004A58F8" w:rsidP="00F21283">
            <w:pPr>
              <w:rPr>
                <w:rFonts w:asciiTheme="minorHAnsi" w:hAnsiTheme="minorHAnsi" w:cstheme="minorHAnsi"/>
                <w:b/>
                <w:bCs/>
                <w:lang w:val="en-GB"/>
              </w:rPr>
            </w:pPr>
            <w:r>
              <w:rPr>
                <w:rFonts w:asciiTheme="minorHAnsi" w:hAnsiTheme="minorHAnsi" w:cstheme="minorHAnsi"/>
                <w:b/>
                <w:bCs/>
              </w:rPr>
              <w:t>Kosmas Karanikolas</w:t>
            </w:r>
            <w:r w:rsidR="00DE5DF9" w:rsidRPr="00BC3D55">
              <w:rPr>
                <w:rFonts w:asciiTheme="minorHAnsi" w:hAnsiTheme="minorHAnsi" w:cstheme="minorHAnsi"/>
                <w:b/>
                <w:bCs/>
                <w:lang w:val="en-GB"/>
              </w:rPr>
              <w:t xml:space="preserve"> </w:t>
            </w:r>
          </w:p>
          <w:p w14:paraId="79106BD5" w14:textId="367BDCAE" w:rsidR="0021095C" w:rsidRPr="00BC3D55" w:rsidRDefault="004A58F8" w:rsidP="00F21283">
            <w:pPr>
              <w:rPr>
                <w:rFonts w:asciiTheme="minorHAnsi" w:hAnsiTheme="minorHAnsi" w:cstheme="minorHAnsi"/>
                <w:lang w:val="en-GB"/>
              </w:rPr>
            </w:pPr>
            <w:r>
              <w:rPr>
                <w:rFonts w:asciiTheme="minorHAnsi" w:hAnsiTheme="minorHAnsi" w:cstheme="minorHAnsi"/>
              </w:rPr>
              <w:t xml:space="preserve">Senior </w:t>
            </w:r>
            <w:r w:rsidR="007A4867" w:rsidRPr="00BC3D55">
              <w:rPr>
                <w:rFonts w:asciiTheme="minorHAnsi" w:hAnsiTheme="minorHAnsi" w:cstheme="minorHAnsi"/>
                <w:lang w:val="en-GB"/>
              </w:rPr>
              <w:t>Associate</w:t>
            </w:r>
          </w:p>
          <w:p w14:paraId="3F1937DC" w14:textId="77777777" w:rsidR="00DE64A9" w:rsidRPr="00BC3D55" w:rsidRDefault="00DE64A9" w:rsidP="00F21283">
            <w:pPr>
              <w:rPr>
                <w:rFonts w:asciiTheme="minorHAnsi" w:hAnsiTheme="minorHAnsi" w:cstheme="minorHAnsi"/>
                <w:lang w:val="en-GB"/>
              </w:rPr>
            </w:pPr>
          </w:p>
          <w:p w14:paraId="55B0B41D" w14:textId="77777777" w:rsidR="00653A6B" w:rsidRPr="00BC3D55" w:rsidRDefault="00653A6B" w:rsidP="00F21283">
            <w:pPr>
              <w:rPr>
                <w:rFonts w:asciiTheme="minorHAnsi" w:hAnsiTheme="minorHAnsi" w:cstheme="minorHAnsi"/>
                <w:lang w:val="en-GB"/>
              </w:rPr>
            </w:pPr>
          </w:p>
          <w:p w14:paraId="07E6015A" w14:textId="77777777" w:rsidR="00653A6B" w:rsidRPr="00BC3D55" w:rsidRDefault="00653A6B" w:rsidP="00F21283">
            <w:pPr>
              <w:rPr>
                <w:rFonts w:asciiTheme="minorHAnsi" w:hAnsiTheme="minorHAnsi" w:cstheme="minorHAnsi"/>
                <w:lang w:val="en-GB"/>
              </w:rPr>
            </w:pPr>
          </w:p>
          <w:p w14:paraId="1655B651" w14:textId="77777777" w:rsidR="00653A6B" w:rsidRPr="00BC3D55" w:rsidRDefault="00653A6B" w:rsidP="00F21283">
            <w:pPr>
              <w:rPr>
                <w:rFonts w:asciiTheme="minorHAnsi" w:hAnsiTheme="minorHAnsi" w:cstheme="minorHAnsi"/>
                <w:lang w:val="en-GB"/>
              </w:rPr>
            </w:pPr>
          </w:p>
          <w:p w14:paraId="3F74BEA4" w14:textId="77777777" w:rsidR="00653A6B" w:rsidRPr="00BC3D55" w:rsidRDefault="00653A6B" w:rsidP="00F21283">
            <w:pPr>
              <w:rPr>
                <w:rFonts w:asciiTheme="minorHAnsi" w:hAnsiTheme="minorHAnsi" w:cstheme="minorHAnsi"/>
                <w:lang w:val="en-GB"/>
              </w:rPr>
            </w:pPr>
          </w:p>
          <w:p w14:paraId="48713CF6" w14:textId="77777777" w:rsidR="00653A6B" w:rsidRPr="00BC3D55" w:rsidRDefault="00653A6B" w:rsidP="00F21283">
            <w:pPr>
              <w:rPr>
                <w:rFonts w:asciiTheme="minorHAnsi" w:hAnsiTheme="minorHAnsi" w:cstheme="minorHAnsi"/>
                <w:lang w:val="en-GB"/>
              </w:rPr>
            </w:pPr>
          </w:p>
          <w:p w14:paraId="6DC45561" w14:textId="77777777" w:rsidR="00B954CB" w:rsidRPr="00BC3D55" w:rsidRDefault="00B954CB" w:rsidP="00F21283">
            <w:pPr>
              <w:rPr>
                <w:rFonts w:asciiTheme="minorHAnsi" w:hAnsiTheme="minorHAnsi" w:cstheme="minorHAnsi"/>
                <w:b/>
                <w:bCs/>
                <w:lang w:val="en-GB"/>
              </w:rPr>
            </w:pPr>
          </w:p>
          <w:p w14:paraId="5E9D9EC9" w14:textId="77777777" w:rsidR="00B954CB" w:rsidRPr="00BC3D55" w:rsidRDefault="00B954CB" w:rsidP="00F21283">
            <w:pPr>
              <w:rPr>
                <w:rFonts w:asciiTheme="minorHAnsi" w:hAnsiTheme="minorHAnsi" w:cstheme="minorHAnsi"/>
                <w:b/>
                <w:bCs/>
                <w:lang w:val="en-GB"/>
              </w:rPr>
            </w:pPr>
          </w:p>
          <w:p w14:paraId="5C8FCA1E" w14:textId="4C8B5150" w:rsidR="00737F0F" w:rsidRPr="00BC3D55" w:rsidRDefault="004A58F8" w:rsidP="007A4867">
            <w:pPr>
              <w:rPr>
                <w:rFonts w:asciiTheme="minorHAnsi" w:hAnsiTheme="minorHAnsi" w:cstheme="minorHAnsi"/>
                <w:b/>
                <w:bCs/>
                <w:lang w:val="en-GB"/>
              </w:rPr>
            </w:pPr>
            <w:proofErr w:type="spellStart"/>
            <w:r>
              <w:rPr>
                <w:rFonts w:asciiTheme="minorHAnsi" w:hAnsiTheme="minorHAnsi" w:cstheme="minorHAnsi"/>
                <w:b/>
                <w:bCs/>
              </w:rPr>
              <w:t>Ioanna</w:t>
            </w:r>
            <w:proofErr w:type="spellEnd"/>
            <w:r>
              <w:rPr>
                <w:rFonts w:asciiTheme="minorHAnsi" w:hAnsiTheme="minorHAnsi" w:cstheme="minorHAnsi"/>
                <w:b/>
                <w:bCs/>
              </w:rPr>
              <w:t xml:space="preserve"> </w:t>
            </w:r>
            <w:proofErr w:type="spellStart"/>
            <w:r>
              <w:rPr>
                <w:rFonts w:asciiTheme="minorHAnsi" w:hAnsiTheme="minorHAnsi" w:cstheme="minorHAnsi"/>
                <w:b/>
                <w:bCs/>
              </w:rPr>
              <w:t>Toufexi</w:t>
            </w:r>
            <w:proofErr w:type="spellEnd"/>
          </w:p>
          <w:p w14:paraId="6121310E" w14:textId="3C75B8BF" w:rsidR="002201CC" w:rsidRPr="00BC3D55" w:rsidRDefault="00DE5DF9" w:rsidP="00F21283">
            <w:pPr>
              <w:rPr>
                <w:rFonts w:asciiTheme="minorHAnsi" w:hAnsiTheme="minorHAnsi" w:cstheme="minorHAnsi"/>
                <w:lang w:val="en-GB"/>
              </w:rPr>
            </w:pPr>
            <w:r w:rsidRPr="00BC3D55">
              <w:rPr>
                <w:rFonts w:asciiTheme="minorHAnsi" w:hAnsiTheme="minorHAnsi" w:cstheme="minorHAnsi"/>
                <w:lang w:val="en-GB"/>
              </w:rPr>
              <w:t>Associate</w:t>
            </w:r>
          </w:p>
          <w:p w14:paraId="01D8928F" w14:textId="77777777" w:rsidR="00F21283" w:rsidRPr="00BC3D55" w:rsidRDefault="00F21283" w:rsidP="00F21283">
            <w:pPr>
              <w:rPr>
                <w:lang w:val="en-GB"/>
              </w:rPr>
            </w:pPr>
          </w:p>
          <w:p w14:paraId="42F094D1" w14:textId="1B44A697" w:rsidR="000C3F70" w:rsidRPr="00BC3D55" w:rsidRDefault="000C3F70" w:rsidP="00F21283">
            <w:pPr>
              <w:rPr>
                <w:lang w:val="en-GB"/>
              </w:rPr>
            </w:pPr>
          </w:p>
        </w:tc>
        <w:tc>
          <w:tcPr>
            <w:tcW w:w="4158" w:type="dxa"/>
            <w:vMerge/>
          </w:tcPr>
          <w:p w14:paraId="2289E3D1" w14:textId="77777777" w:rsidR="00F21283" w:rsidRPr="00BC3D55" w:rsidRDefault="00F21283" w:rsidP="00F21283">
            <w:pPr>
              <w:rPr>
                <w:lang w:val="en-GB"/>
              </w:rPr>
            </w:pPr>
          </w:p>
        </w:tc>
      </w:tr>
      <w:tr w:rsidR="000C4EC9" w:rsidRPr="00BC3D55" w14:paraId="562AEACE" w14:textId="77777777" w:rsidTr="008419EC">
        <w:tc>
          <w:tcPr>
            <w:tcW w:w="8306" w:type="dxa"/>
            <w:gridSpan w:val="2"/>
          </w:tcPr>
          <w:p w14:paraId="7472C002" w14:textId="77777777" w:rsidR="0024220E" w:rsidRPr="00BC3D55" w:rsidRDefault="0024220E" w:rsidP="0024220E">
            <w:pPr>
              <w:spacing w:after="160" w:line="278" w:lineRule="auto"/>
              <w:jc w:val="both"/>
              <w:rPr>
                <w:rFonts w:ascii="Aptos" w:eastAsia="Aptos" w:hAnsi="Aptos" w:cs="Arial"/>
                <w:b/>
                <w:bCs/>
                <w:lang w:val="en-GB" w:eastAsia="en-US"/>
              </w:rPr>
            </w:pPr>
          </w:p>
          <w:p w14:paraId="6C45252D" w14:textId="77777777" w:rsidR="004A58F8" w:rsidRPr="004A58F8" w:rsidRDefault="004A58F8" w:rsidP="004A58F8">
            <w:pPr>
              <w:spacing w:line="276" w:lineRule="auto"/>
              <w:jc w:val="both"/>
              <w:rPr>
                <w:rFonts w:ascii="Calibri" w:hAnsi="Calibri" w:cs="Calibri"/>
                <w:b/>
                <w:bCs/>
                <w:sz w:val="22"/>
                <w:szCs w:val="22"/>
                <w:lang w:val="en-GB"/>
              </w:rPr>
            </w:pPr>
            <w:r w:rsidRPr="004A58F8">
              <w:rPr>
                <w:rFonts w:ascii="Calibri" w:hAnsi="Calibri" w:cs="Calibri"/>
                <w:b/>
                <w:bCs/>
                <w:sz w:val="22"/>
                <w:szCs w:val="22"/>
                <w:lang w:val="en-GB"/>
              </w:rPr>
              <w:t>Introduction: Europe’s Energy System in Transformation</w:t>
            </w:r>
          </w:p>
          <w:p w14:paraId="33B014E0" w14:textId="77777777" w:rsidR="004A58F8" w:rsidRPr="004A58F8" w:rsidRDefault="004A58F8" w:rsidP="004A58F8">
            <w:pPr>
              <w:spacing w:line="276" w:lineRule="auto"/>
              <w:jc w:val="both"/>
              <w:rPr>
                <w:rFonts w:ascii="Calibri" w:hAnsi="Calibri" w:cs="Calibri"/>
                <w:sz w:val="22"/>
                <w:szCs w:val="22"/>
                <w:lang w:val="en-GB"/>
              </w:rPr>
            </w:pPr>
            <w:r w:rsidRPr="004A58F8">
              <w:rPr>
                <w:rFonts w:ascii="Calibri" w:hAnsi="Calibri" w:cs="Calibri"/>
                <w:sz w:val="22"/>
                <w:szCs w:val="22"/>
                <w:lang w:val="en-GB"/>
              </w:rPr>
              <w:t>The European Union is entering a new era of energy transformation. Electrification, green industry, hydrogen, and renewable energy sources are rapidly increasing the demand for stronger, smarter, and more interconnected grids.</w:t>
            </w:r>
          </w:p>
          <w:p w14:paraId="051DB403" w14:textId="77777777" w:rsidR="004A58F8" w:rsidRPr="004A58F8" w:rsidRDefault="004A58F8" w:rsidP="004A58F8">
            <w:pPr>
              <w:spacing w:line="276" w:lineRule="auto"/>
              <w:jc w:val="both"/>
              <w:rPr>
                <w:rFonts w:ascii="Calibri" w:hAnsi="Calibri" w:cs="Calibri"/>
                <w:sz w:val="22"/>
                <w:szCs w:val="22"/>
                <w:lang w:val="en-GB"/>
              </w:rPr>
            </w:pPr>
            <w:r w:rsidRPr="004A58F8">
              <w:rPr>
                <w:rFonts w:ascii="Calibri" w:hAnsi="Calibri" w:cs="Calibri"/>
                <w:sz w:val="22"/>
                <w:szCs w:val="22"/>
                <w:lang w:val="en-GB"/>
              </w:rPr>
              <w:t>Europe is confronted with a historic energy challenge. On one hand, it is committed to achieving climate neutrality; on the other, it must develop networks capable of supporting billions of new electric devices, millions of electric vehicles, data centers and an entirely new hydrogen economy.</w:t>
            </w:r>
          </w:p>
          <w:p w14:paraId="5F8F9A60" w14:textId="77777777" w:rsidR="004A58F8" w:rsidRPr="004A58F8" w:rsidRDefault="004A58F8" w:rsidP="004A58F8">
            <w:pPr>
              <w:spacing w:line="276" w:lineRule="auto"/>
              <w:jc w:val="both"/>
              <w:rPr>
                <w:rFonts w:ascii="Calibri" w:hAnsi="Calibri" w:cs="Calibri"/>
                <w:sz w:val="22"/>
                <w:szCs w:val="22"/>
                <w:lang w:val="en-GB"/>
              </w:rPr>
            </w:pPr>
            <w:r w:rsidRPr="004A58F8">
              <w:rPr>
                <w:rFonts w:ascii="Calibri" w:hAnsi="Calibri" w:cs="Calibri"/>
                <w:sz w:val="22"/>
                <w:szCs w:val="22"/>
                <w:lang w:val="en-GB"/>
              </w:rPr>
              <w:t>The current legal framework governing Europe’s energy networks — particularly the TEN-E Regulation — is now widely viewed as complex, slow, and difficult to implement. For this reason, the European Commission is preparing a new European Grid Package for 2025.</w:t>
            </w:r>
          </w:p>
          <w:p w14:paraId="23223310" w14:textId="77777777" w:rsidR="004A58F8" w:rsidRPr="004A58F8" w:rsidRDefault="004A58F8" w:rsidP="004A58F8">
            <w:pPr>
              <w:spacing w:line="276" w:lineRule="auto"/>
              <w:jc w:val="both"/>
              <w:rPr>
                <w:rFonts w:ascii="Calibri" w:hAnsi="Calibri" w:cs="Calibri"/>
                <w:sz w:val="22"/>
                <w:szCs w:val="22"/>
                <w:lang w:val="en-GB"/>
              </w:rPr>
            </w:pPr>
            <w:r w:rsidRPr="004A58F8">
              <w:rPr>
                <w:rFonts w:ascii="Calibri" w:hAnsi="Calibri" w:cs="Calibri"/>
                <w:sz w:val="22"/>
                <w:szCs w:val="22"/>
                <w:lang w:val="en-GB"/>
              </w:rPr>
              <w:t>In this context, ACER, the European Union Agency for the Cooperation of Energy Regulators, has published detailed proposals outlining how the existing framework should be revised.</w:t>
            </w:r>
          </w:p>
          <w:p w14:paraId="720DACA6" w14:textId="77777777" w:rsidR="004A58F8" w:rsidRPr="004A58F8" w:rsidRDefault="004A58F8" w:rsidP="004A58F8">
            <w:pPr>
              <w:spacing w:line="276" w:lineRule="auto"/>
              <w:jc w:val="both"/>
              <w:rPr>
                <w:rFonts w:ascii="Calibri" w:hAnsi="Calibri" w:cs="Calibri"/>
                <w:b/>
                <w:bCs/>
                <w:sz w:val="22"/>
                <w:szCs w:val="22"/>
                <w:lang w:val="en-GB"/>
              </w:rPr>
            </w:pPr>
          </w:p>
          <w:p w14:paraId="11A55338" w14:textId="77777777" w:rsidR="004A58F8" w:rsidRPr="004A58F8" w:rsidRDefault="004A58F8" w:rsidP="004A58F8">
            <w:pPr>
              <w:spacing w:line="276" w:lineRule="auto"/>
              <w:jc w:val="both"/>
              <w:rPr>
                <w:rFonts w:ascii="Calibri" w:hAnsi="Calibri" w:cs="Calibri"/>
                <w:b/>
                <w:bCs/>
                <w:sz w:val="22"/>
                <w:szCs w:val="22"/>
                <w:lang w:val="en-GB"/>
              </w:rPr>
            </w:pPr>
            <w:r w:rsidRPr="004A58F8">
              <w:rPr>
                <w:rFonts w:ascii="Calibri" w:hAnsi="Calibri" w:cs="Calibri"/>
                <w:b/>
                <w:bCs/>
                <w:sz w:val="22"/>
                <w:szCs w:val="22"/>
                <w:lang w:val="en-GB"/>
              </w:rPr>
              <w:t>The Issue: A Slow and Fragmented Planning Framework</w:t>
            </w:r>
          </w:p>
          <w:p w14:paraId="0E764903" w14:textId="77777777" w:rsidR="004A58F8" w:rsidRPr="004A58F8" w:rsidRDefault="004A58F8" w:rsidP="004A58F8">
            <w:pPr>
              <w:spacing w:line="276" w:lineRule="auto"/>
              <w:jc w:val="both"/>
              <w:rPr>
                <w:rFonts w:ascii="Calibri" w:hAnsi="Calibri" w:cs="Calibri"/>
                <w:sz w:val="22"/>
                <w:szCs w:val="22"/>
                <w:lang w:val="en-GB"/>
              </w:rPr>
            </w:pPr>
            <w:r w:rsidRPr="004A58F8">
              <w:rPr>
                <w:rFonts w:ascii="Calibri" w:hAnsi="Calibri" w:cs="Calibri"/>
                <w:sz w:val="22"/>
                <w:szCs w:val="22"/>
                <w:lang w:val="en-GB"/>
              </w:rPr>
              <w:t>ACER is clearly stated that today’s legal framework is excessively complex, burdened with consultations, steps, and procedures that delay the planning of critical infrastructure.</w:t>
            </w:r>
          </w:p>
          <w:p w14:paraId="6ADBBE5F" w14:textId="77777777" w:rsidR="004A58F8" w:rsidRPr="004A58F8" w:rsidRDefault="004A58F8" w:rsidP="004A58F8">
            <w:pPr>
              <w:spacing w:line="276" w:lineRule="auto"/>
              <w:jc w:val="both"/>
              <w:rPr>
                <w:rFonts w:ascii="Calibri" w:hAnsi="Calibri" w:cs="Calibri"/>
                <w:sz w:val="22"/>
                <w:szCs w:val="22"/>
                <w:lang w:val="en-GB"/>
              </w:rPr>
            </w:pPr>
            <w:r w:rsidRPr="004A58F8">
              <w:rPr>
                <w:rFonts w:ascii="Calibri" w:hAnsi="Calibri" w:cs="Calibri"/>
                <w:sz w:val="22"/>
                <w:szCs w:val="22"/>
                <w:lang w:val="en-GB"/>
              </w:rPr>
              <w:lastRenderedPageBreak/>
              <w:t>At present, building a high-voltage line or a hydrogen pipeline requires navigating a long chain of prerequisites: extensive scenario cycles, highly complex ten-year network development plans (TYNDPs), slow procedures for selecting Projects of Common Interest (PCIs), and a labyrinth of assessments and approvals.</w:t>
            </w:r>
          </w:p>
          <w:p w14:paraId="0B232AE4" w14:textId="77777777" w:rsidR="004A58F8" w:rsidRPr="004A58F8" w:rsidRDefault="004A58F8" w:rsidP="004A58F8">
            <w:pPr>
              <w:spacing w:line="276" w:lineRule="auto"/>
              <w:jc w:val="both"/>
              <w:rPr>
                <w:rFonts w:ascii="Calibri" w:hAnsi="Calibri" w:cs="Calibri"/>
                <w:sz w:val="22"/>
                <w:szCs w:val="22"/>
                <w:lang w:val="en-GB"/>
              </w:rPr>
            </w:pPr>
            <w:r w:rsidRPr="004A58F8">
              <w:rPr>
                <w:rFonts w:ascii="Calibri" w:hAnsi="Calibri" w:cs="Calibri"/>
                <w:sz w:val="22"/>
                <w:szCs w:val="22"/>
                <w:lang w:val="en-GB"/>
              </w:rPr>
              <w:t>The result is that planning is so delayed that projects often materialize only when the market has already moved on.</w:t>
            </w:r>
          </w:p>
          <w:p w14:paraId="5F31215A" w14:textId="77777777" w:rsidR="004A58F8" w:rsidRPr="004A58F8" w:rsidRDefault="004A58F8" w:rsidP="004A58F8">
            <w:pPr>
              <w:spacing w:line="276" w:lineRule="auto"/>
              <w:jc w:val="both"/>
              <w:rPr>
                <w:rFonts w:ascii="Calibri" w:hAnsi="Calibri" w:cs="Calibri"/>
                <w:b/>
                <w:bCs/>
                <w:sz w:val="22"/>
                <w:szCs w:val="22"/>
                <w:lang w:val="en-GB"/>
              </w:rPr>
            </w:pPr>
          </w:p>
          <w:p w14:paraId="7AD96032" w14:textId="77777777" w:rsidR="004A58F8" w:rsidRPr="004A58F8" w:rsidRDefault="004A58F8" w:rsidP="004A58F8">
            <w:pPr>
              <w:spacing w:line="276" w:lineRule="auto"/>
              <w:jc w:val="both"/>
              <w:rPr>
                <w:rFonts w:ascii="Calibri" w:hAnsi="Calibri" w:cs="Calibri"/>
                <w:b/>
                <w:bCs/>
                <w:sz w:val="22"/>
                <w:szCs w:val="22"/>
                <w:lang w:val="en-GB"/>
              </w:rPr>
            </w:pPr>
            <w:r w:rsidRPr="004A58F8">
              <w:rPr>
                <w:rFonts w:ascii="Calibri" w:hAnsi="Calibri" w:cs="Calibri"/>
                <w:b/>
                <w:bCs/>
                <w:sz w:val="22"/>
                <w:szCs w:val="22"/>
                <w:lang w:val="en-GB"/>
              </w:rPr>
              <w:t>TEN-E Regulation Revision: ACER’s Recommendations</w:t>
            </w:r>
          </w:p>
          <w:p w14:paraId="004C4A97" w14:textId="77777777" w:rsidR="004A58F8" w:rsidRPr="004A58F8" w:rsidRDefault="004A58F8" w:rsidP="004A58F8">
            <w:pPr>
              <w:spacing w:line="276" w:lineRule="auto"/>
              <w:jc w:val="both"/>
              <w:rPr>
                <w:rFonts w:ascii="Calibri" w:hAnsi="Calibri" w:cs="Calibri"/>
                <w:sz w:val="22"/>
                <w:szCs w:val="22"/>
                <w:lang w:val="en-GB"/>
              </w:rPr>
            </w:pPr>
            <w:r w:rsidRPr="004A58F8">
              <w:rPr>
                <w:rFonts w:ascii="Calibri" w:hAnsi="Calibri" w:cs="Calibri"/>
                <w:sz w:val="22"/>
                <w:szCs w:val="22"/>
                <w:lang w:val="en-GB"/>
              </w:rPr>
              <w:t>The Agency for the Cooperation of Energy Regulators (ACER) recently issued recommendations ahead of the European Commission’s forthcoming “Grids Package”, expected in Q4 2025. ACER plays a central role in ensuring the consistent implementation of EU energy legislation, monitoring electricity and gas markets, and providing guidance to support cross-border cooperation. Its recent guidance addresses network development, aiming to align European energy infrastructure with the EU’s climate neutrality goals and evolving market dynamics.</w:t>
            </w:r>
          </w:p>
          <w:p w14:paraId="09D6300A" w14:textId="77777777" w:rsidR="004A58F8" w:rsidRPr="004A58F8" w:rsidRDefault="004A58F8" w:rsidP="004A58F8">
            <w:pPr>
              <w:spacing w:line="276" w:lineRule="auto"/>
              <w:jc w:val="both"/>
              <w:rPr>
                <w:rFonts w:ascii="Calibri" w:hAnsi="Calibri" w:cs="Calibri"/>
                <w:sz w:val="22"/>
                <w:szCs w:val="22"/>
                <w:lang w:val="en-GB"/>
              </w:rPr>
            </w:pPr>
            <w:r w:rsidRPr="004A58F8">
              <w:rPr>
                <w:rFonts w:ascii="Calibri" w:hAnsi="Calibri" w:cs="Calibri"/>
                <w:sz w:val="22"/>
                <w:szCs w:val="22"/>
                <w:lang w:val="en-GB"/>
              </w:rPr>
              <w:t xml:space="preserve">The </w:t>
            </w:r>
            <w:r w:rsidRPr="00EA0372">
              <w:rPr>
                <w:rFonts w:ascii="Calibri" w:hAnsi="Calibri" w:cs="Calibri"/>
                <w:b/>
                <w:bCs/>
                <w:sz w:val="22"/>
                <w:szCs w:val="22"/>
                <w:lang w:val="en-GB"/>
              </w:rPr>
              <w:t>Trans-European Energy Networks Regulation (TEN-E Regulation)</w:t>
            </w:r>
            <w:r w:rsidRPr="004A58F8">
              <w:rPr>
                <w:rFonts w:ascii="Calibri" w:hAnsi="Calibri" w:cs="Calibri"/>
                <w:sz w:val="22"/>
                <w:szCs w:val="22"/>
                <w:lang w:val="en-GB"/>
              </w:rPr>
              <w:t>, revised in 2022, establishes the framework for identifying, prioritizing, and developing Projects of Common Interest (PCIs) across the EU. TEN-E is critical for ensuring the interconnectedness, efficiency, and resilience of European energy networks, while supporting the integration of renewables, cross-border trade, and long-term energy security. However, recent developments - such as the rapid expansion of renewable energy sources (RES), the implementation of market coupling and target model mechanisms, and the European Green Deal - highlight the need to update the TEN-E framework to further facilitate investment and infrastructure planning.</w:t>
            </w:r>
          </w:p>
          <w:p w14:paraId="78FDB76A" w14:textId="77777777" w:rsidR="004A58F8" w:rsidRPr="004A58F8" w:rsidRDefault="004A58F8" w:rsidP="004A58F8">
            <w:pPr>
              <w:spacing w:line="276" w:lineRule="auto"/>
              <w:jc w:val="both"/>
              <w:rPr>
                <w:rFonts w:ascii="Calibri" w:hAnsi="Calibri" w:cs="Calibri"/>
                <w:b/>
                <w:bCs/>
                <w:sz w:val="22"/>
                <w:szCs w:val="22"/>
                <w:lang w:val="en-GB"/>
              </w:rPr>
            </w:pPr>
          </w:p>
          <w:p w14:paraId="3872462D" w14:textId="77777777" w:rsidR="004A58F8" w:rsidRPr="004A58F8" w:rsidRDefault="004A58F8" w:rsidP="004A58F8">
            <w:pPr>
              <w:spacing w:line="276" w:lineRule="auto"/>
              <w:jc w:val="both"/>
              <w:rPr>
                <w:rFonts w:ascii="Calibri" w:hAnsi="Calibri" w:cs="Calibri"/>
                <w:b/>
                <w:bCs/>
                <w:sz w:val="22"/>
                <w:szCs w:val="22"/>
                <w:lang w:val="en-GB"/>
              </w:rPr>
            </w:pPr>
            <w:r w:rsidRPr="004A58F8">
              <w:rPr>
                <w:rFonts w:ascii="Calibri" w:hAnsi="Calibri" w:cs="Calibri"/>
                <w:b/>
                <w:bCs/>
                <w:sz w:val="22"/>
                <w:szCs w:val="22"/>
                <w:lang w:val="en-GB"/>
              </w:rPr>
              <w:t>ACER’s Vision for a Unified and Efficient Energy System</w:t>
            </w:r>
          </w:p>
          <w:p w14:paraId="12FAED77" w14:textId="77777777" w:rsidR="004A58F8" w:rsidRPr="004A58F8" w:rsidRDefault="004A58F8" w:rsidP="004A58F8">
            <w:pPr>
              <w:spacing w:line="276" w:lineRule="auto"/>
              <w:jc w:val="both"/>
              <w:rPr>
                <w:rFonts w:ascii="Calibri" w:hAnsi="Calibri" w:cs="Calibri"/>
                <w:sz w:val="22"/>
                <w:szCs w:val="22"/>
                <w:lang w:val="en-GB"/>
              </w:rPr>
            </w:pPr>
            <w:r w:rsidRPr="004A58F8">
              <w:rPr>
                <w:rFonts w:ascii="Calibri" w:hAnsi="Calibri" w:cs="Calibri"/>
                <w:sz w:val="22"/>
                <w:szCs w:val="22"/>
                <w:lang w:val="en-GB"/>
              </w:rPr>
              <w:t xml:space="preserve">Long-term scenarios form the foundation of every network planning exercise. Based on this, ACER’s recommendations focus on </w:t>
            </w:r>
            <w:r w:rsidRPr="00EA0372">
              <w:rPr>
                <w:rFonts w:ascii="Calibri" w:hAnsi="Calibri" w:cs="Calibri"/>
                <w:b/>
                <w:bCs/>
                <w:sz w:val="22"/>
                <w:szCs w:val="22"/>
                <w:lang w:val="en-GB"/>
              </w:rPr>
              <w:t>strengthening and simplifying TEN-E processes</w:t>
            </w:r>
            <w:r w:rsidRPr="004A58F8">
              <w:rPr>
                <w:rFonts w:ascii="Calibri" w:hAnsi="Calibri" w:cs="Calibri"/>
                <w:sz w:val="22"/>
                <w:szCs w:val="22"/>
                <w:lang w:val="en-GB"/>
              </w:rPr>
              <w:t xml:space="preserve"> to improve network planning and accelerate the development of essential infrastructure. </w:t>
            </w:r>
          </w:p>
          <w:p w14:paraId="3F749BCA" w14:textId="77777777" w:rsidR="004A58F8" w:rsidRPr="004A58F8" w:rsidRDefault="004A58F8" w:rsidP="004A58F8">
            <w:pPr>
              <w:spacing w:line="276" w:lineRule="auto"/>
              <w:jc w:val="both"/>
              <w:rPr>
                <w:rFonts w:ascii="Calibri" w:hAnsi="Calibri" w:cs="Calibri"/>
                <w:sz w:val="22"/>
                <w:szCs w:val="22"/>
                <w:lang w:val="en-GB"/>
              </w:rPr>
            </w:pPr>
            <w:r w:rsidRPr="004A58F8">
              <w:rPr>
                <w:rFonts w:ascii="Calibri" w:hAnsi="Calibri" w:cs="Calibri"/>
                <w:sz w:val="22"/>
                <w:szCs w:val="22"/>
                <w:lang w:val="en-GB"/>
              </w:rPr>
              <w:t>ACER proposes a single, formally approved methodological framework—endorsed either by the European Commission or ACER itself—together with fewer bureaucratic consultations, better alignment with the National Energy and Climate Plans (NECPs), and the introduction of a new “trends and real-world progress” scenario that reflects actual developments on the ground and evolves consistently with them.</w:t>
            </w:r>
          </w:p>
          <w:p w14:paraId="778958A4" w14:textId="77777777" w:rsidR="004A58F8" w:rsidRPr="004A58F8" w:rsidRDefault="004A58F8" w:rsidP="004A58F8">
            <w:pPr>
              <w:spacing w:line="276" w:lineRule="auto"/>
              <w:jc w:val="both"/>
              <w:rPr>
                <w:rFonts w:ascii="Calibri" w:hAnsi="Calibri" w:cs="Calibri"/>
                <w:sz w:val="22"/>
                <w:szCs w:val="22"/>
                <w:lang w:val="en-GB"/>
              </w:rPr>
            </w:pPr>
            <w:r w:rsidRPr="004A58F8">
              <w:rPr>
                <w:rFonts w:ascii="Calibri" w:hAnsi="Calibri" w:cs="Calibri"/>
                <w:sz w:val="22"/>
                <w:szCs w:val="22"/>
                <w:lang w:val="en-GB"/>
              </w:rPr>
              <w:t>In addition, ACER calls for a joint, fully integrated planning approach for electricity, natural gas, and hydrogen, supported by a single reference system that ensures all networks are assessed within a common, coherent framework.</w:t>
            </w:r>
          </w:p>
          <w:p w14:paraId="6B1A779F" w14:textId="77777777" w:rsidR="004A58F8" w:rsidRPr="004A58F8" w:rsidRDefault="004A58F8" w:rsidP="004A58F8">
            <w:pPr>
              <w:spacing w:line="276" w:lineRule="auto"/>
              <w:jc w:val="both"/>
              <w:rPr>
                <w:rFonts w:ascii="Calibri" w:hAnsi="Calibri" w:cs="Calibri"/>
                <w:sz w:val="22"/>
                <w:szCs w:val="22"/>
                <w:lang w:val="en-GB"/>
              </w:rPr>
            </w:pPr>
            <w:r w:rsidRPr="004A58F8">
              <w:rPr>
                <w:rFonts w:ascii="Calibri" w:hAnsi="Calibri" w:cs="Calibri"/>
                <w:sz w:val="22"/>
                <w:szCs w:val="22"/>
                <w:lang w:val="en-GB"/>
              </w:rPr>
              <w:t>One of the most important — and often overlooked — issues is that electricity, natural gas, and hydrogen are still treated as separate systems. ACER highlights the obvious: a unified energy future requires a unified planning approach.</w:t>
            </w:r>
          </w:p>
          <w:p w14:paraId="716C0C44" w14:textId="77777777" w:rsidR="004A58F8" w:rsidRPr="004A58F8" w:rsidRDefault="004A58F8" w:rsidP="004A58F8">
            <w:pPr>
              <w:spacing w:line="276" w:lineRule="auto"/>
              <w:jc w:val="both"/>
              <w:rPr>
                <w:rFonts w:ascii="Calibri" w:hAnsi="Calibri" w:cs="Calibri"/>
                <w:sz w:val="22"/>
                <w:szCs w:val="22"/>
                <w:lang w:val="en-GB"/>
              </w:rPr>
            </w:pPr>
            <w:r w:rsidRPr="004A58F8">
              <w:rPr>
                <w:rFonts w:ascii="Calibri" w:hAnsi="Calibri" w:cs="Calibri"/>
                <w:sz w:val="22"/>
                <w:szCs w:val="22"/>
                <w:lang w:val="en-GB"/>
              </w:rPr>
              <w:t>It therefore proposes common methodologies, joint needs assessments, and a single, integrated evaluation of projects that span multiple energy systems.</w:t>
            </w:r>
          </w:p>
          <w:p w14:paraId="591F7022" w14:textId="77777777" w:rsidR="004A58F8" w:rsidRPr="004A58F8" w:rsidRDefault="004A58F8" w:rsidP="004A58F8">
            <w:pPr>
              <w:spacing w:line="276" w:lineRule="auto"/>
              <w:jc w:val="both"/>
              <w:rPr>
                <w:rFonts w:ascii="Calibri" w:hAnsi="Calibri" w:cs="Calibri"/>
                <w:sz w:val="22"/>
                <w:szCs w:val="22"/>
                <w:lang w:val="en-GB"/>
              </w:rPr>
            </w:pPr>
            <w:r w:rsidRPr="004A58F8">
              <w:rPr>
                <w:rFonts w:ascii="Calibri" w:hAnsi="Calibri" w:cs="Calibri"/>
                <w:sz w:val="22"/>
                <w:szCs w:val="22"/>
                <w:lang w:val="en-GB"/>
              </w:rPr>
              <w:t xml:space="preserve">ACER also strongly emphasizes that Europe must recognize that building new lines is not always the only solution. Existing technologies can increase the capacity of existing networks more quickly and at a significantly lower cost. These include, for example, dynamic </w:t>
            </w:r>
            <w:r w:rsidRPr="004A58F8">
              <w:rPr>
                <w:rFonts w:ascii="Calibri" w:hAnsi="Calibri" w:cs="Calibri"/>
                <w:sz w:val="22"/>
                <w:szCs w:val="22"/>
                <w:lang w:val="en-GB"/>
              </w:rPr>
              <w:lastRenderedPageBreak/>
              <w:t>line rating, intelligent sensors, advanced digital management platforms, and energy storage solutions.</w:t>
            </w:r>
          </w:p>
          <w:p w14:paraId="261DA3B1" w14:textId="77777777" w:rsidR="004A58F8" w:rsidRPr="00925F07" w:rsidRDefault="004A58F8" w:rsidP="004A58F8">
            <w:pPr>
              <w:spacing w:line="276" w:lineRule="auto"/>
              <w:jc w:val="both"/>
              <w:rPr>
                <w:rFonts w:ascii="Calibri" w:hAnsi="Calibri" w:cs="Calibri"/>
                <w:sz w:val="22"/>
                <w:szCs w:val="22"/>
                <w:u w:val="single"/>
                <w:lang w:val="en-GB"/>
              </w:rPr>
            </w:pPr>
            <w:r w:rsidRPr="00925F07">
              <w:rPr>
                <w:rFonts w:ascii="Calibri" w:hAnsi="Calibri" w:cs="Calibri"/>
                <w:sz w:val="22"/>
                <w:szCs w:val="22"/>
                <w:u w:val="single"/>
                <w:lang w:val="en-GB"/>
              </w:rPr>
              <w:t>Specifically, key proposals include:</w:t>
            </w:r>
          </w:p>
          <w:p w14:paraId="5A1D80E3" w14:textId="616B9AD1" w:rsidR="004A58F8" w:rsidRPr="00EA0372" w:rsidRDefault="004A58F8" w:rsidP="00EA0372">
            <w:pPr>
              <w:pStyle w:val="a8"/>
              <w:numPr>
                <w:ilvl w:val="0"/>
                <w:numId w:val="10"/>
              </w:numPr>
              <w:spacing w:line="276" w:lineRule="auto"/>
              <w:jc w:val="both"/>
              <w:rPr>
                <w:rFonts w:ascii="Calibri" w:hAnsi="Calibri" w:cs="Calibri"/>
                <w:sz w:val="22"/>
                <w:szCs w:val="22"/>
                <w:lang w:val="en-GB"/>
              </w:rPr>
            </w:pPr>
            <w:r w:rsidRPr="00EA0372">
              <w:rPr>
                <w:rFonts w:ascii="Calibri" w:hAnsi="Calibri" w:cs="Calibri"/>
                <w:b/>
                <w:bCs/>
                <w:sz w:val="22"/>
                <w:szCs w:val="22"/>
                <w:lang w:val="en-GB"/>
              </w:rPr>
              <w:t>Enhanced regulatory oversight</w:t>
            </w:r>
            <w:r w:rsidRPr="00EA0372">
              <w:rPr>
                <w:rFonts w:ascii="Calibri" w:hAnsi="Calibri" w:cs="Calibri"/>
                <w:sz w:val="22"/>
                <w:szCs w:val="22"/>
                <w:lang w:val="en-GB"/>
              </w:rPr>
              <w:t>: ACER recommends a stronger role in supervising methodologies, thus enabling the development of multiple scenarios and infrastructure planning, ensuring that network expansion is both robust and forward-looking.</w:t>
            </w:r>
          </w:p>
          <w:p w14:paraId="38E65829" w14:textId="2AD476CF" w:rsidR="004A58F8" w:rsidRPr="00EA0372" w:rsidRDefault="004A58F8" w:rsidP="00EA0372">
            <w:pPr>
              <w:pStyle w:val="a8"/>
              <w:numPr>
                <w:ilvl w:val="0"/>
                <w:numId w:val="10"/>
              </w:numPr>
              <w:spacing w:line="276" w:lineRule="auto"/>
              <w:jc w:val="both"/>
              <w:rPr>
                <w:rFonts w:ascii="Calibri" w:hAnsi="Calibri" w:cs="Calibri"/>
                <w:sz w:val="22"/>
                <w:szCs w:val="22"/>
                <w:lang w:val="en-GB"/>
              </w:rPr>
            </w:pPr>
            <w:r w:rsidRPr="00EA0372">
              <w:rPr>
                <w:rFonts w:ascii="Calibri" w:hAnsi="Calibri" w:cs="Calibri"/>
                <w:b/>
                <w:bCs/>
                <w:sz w:val="22"/>
                <w:szCs w:val="22"/>
                <w:lang w:val="en-GB"/>
              </w:rPr>
              <w:t>Improved identification and prioritization of infrastructure needs</w:t>
            </w:r>
            <w:r w:rsidRPr="00EA0372">
              <w:rPr>
                <w:rFonts w:ascii="Calibri" w:hAnsi="Calibri" w:cs="Calibri"/>
                <w:sz w:val="22"/>
                <w:szCs w:val="22"/>
                <w:lang w:val="en-GB"/>
              </w:rPr>
              <w:t>: By establishing effective mechanisms within the current framework, critical infrastructure gaps can be addressed with optimal solutions, including innovative non-wire alternatives to increase grid capacity.</w:t>
            </w:r>
          </w:p>
          <w:p w14:paraId="77D0F29C" w14:textId="65DBE9E5" w:rsidR="004A58F8" w:rsidRPr="00EA0372" w:rsidRDefault="004A58F8" w:rsidP="00EA0372">
            <w:pPr>
              <w:pStyle w:val="a8"/>
              <w:numPr>
                <w:ilvl w:val="0"/>
                <w:numId w:val="10"/>
              </w:numPr>
              <w:spacing w:line="276" w:lineRule="auto"/>
              <w:jc w:val="both"/>
              <w:rPr>
                <w:rFonts w:ascii="Calibri" w:hAnsi="Calibri" w:cs="Calibri"/>
                <w:sz w:val="22"/>
                <w:szCs w:val="22"/>
                <w:lang w:val="en-GB"/>
              </w:rPr>
            </w:pPr>
            <w:r w:rsidRPr="00EA0372">
              <w:rPr>
                <w:rFonts w:ascii="Calibri" w:hAnsi="Calibri" w:cs="Calibri"/>
                <w:b/>
                <w:bCs/>
                <w:sz w:val="22"/>
                <w:szCs w:val="22"/>
                <w:lang w:val="en-GB"/>
              </w:rPr>
              <w:t>Streamlined PCI selection and monitoring</w:t>
            </w:r>
            <w:r w:rsidRPr="00EA0372">
              <w:rPr>
                <w:rFonts w:ascii="Calibri" w:hAnsi="Calibri" w:cs="Calibri"/>
                <w:sz w:val="22"/>
                <w:szCs w:val="22"/>
                <w:lang w:val="en-GB"/>
              </w:rPr>
              <w:t>: ACER proposes refining the Ten-Year Network Development Plans (TYNDPs) and the PCI selection process to increase transparency, efficiency, and adaptability to evolving energy needs.</w:t>
            </w:r>
          </w:p>
          <w:p w14:paraId="25F84315" w14:textId="6C9BF2FE" w:rsidR="004A58F8" w:rsidRPr="00EA0372" w:rsidRDefault="004A58F8" w:rsidP="00EA0372">
            <w:pPr>
              <w:pStyle w:val="a8"/>
              <w:numPr>
                <w:ilvl w:val="0"/>
                <w:numId w:val="10"/>
              </w:numPr>
              <w:spacing w:line="276" w:lineRule="auto"/>
              <w:jc w:val="both"/>
              <w:rPr>
                <w:rFonts w:ascii="Calibri" w:hAnsi="Calibri" w:cs="Calibri"/>
                <w:sz w:val="22"/>
                <w:szCs w:val="22"/>
                <w:lang w:val="en-GB"/>
              </w:rPr>
            </w:pPr>
            <w:r w:rsidRPr="00EA0372">
              <w:rPr>
                <w:rFonts w:ascii="Calibri" w:hAnsi="Calibri" w:cs="Calibri"/>
                <w:b/>
                <w:bCs/>
                <w:sz w:val="22"/>
                <w:szCs w:val="22"/>
                <w:lang w:val="en-GB"/>
              </w:rPr>
              <w:t>Identification of alternative solutions</w:t>
            </w:r>
            <w:r w:rsidRPr="00EA0372">
              <w:rPr>
                <w:rFonts w:ascii="Calibri" w:hAnsi="Calibri" w:cs="Calibri"/>
                <w:sz w:val="22"/>
                <w:szCs w:val="22"/>
                <w:lang w:val="en-GB"/>
              </w:rPr>
              <w:t>: The agency emphasizes the value of non-traditional infrastructure approaches, such as energy storage and smart grid technologies, to complement conventional investments.</w:t>
            </w:r>
          </w:p>
          <w:p w14:paraId="40325292" w14:textId="77777777" w:rsidR="004A58F8" w:rsidRPr="004A58F8" w:rsidRDefault="004A58F8" w:rsidP="004A58F8">
            <w:pPr>
              <w:spacing w:line="276" w:lineRule="auto"/>
              <w:jc w:val="both"/>
              <w:rPr>
                <w:rFonts w:ascii="Calibri" w:hAnsi="Calibri" w:cs="Calibri"/>
                <w:sz w:val="22"/>
                <w:szCs w:val="22"/>
                <w:lang w:val="en-GB"/>
              </w:rPr>
            </w:pPr>
            <w:r w:rsidRPr="004A58F8">
              <w:rPr>
                <w:rFonts w:ascii="Calibri" w:hAnsi="Calibri" w:cs="Calibri"/>
                <w:sz w:val="22"/>
                <w:szCs w:val="22"/>
                <w:lang w:val="en-GB"/>
              </w:rPr>
              <w:t>Recent ACER’s findings, as depicted in its 2025 Monitoring Report, entitled “Transmission capacities for cross-zonal trade of electricity and congestion management”, reiterate the need for adoption of these proposals. The report identifies persistent bottlenecks that restrict efficient cross-border electricity flows, with the most congested lines offering only 54% of their physical capacity - well below the 70% EU threshold - leading to significant welfare losses and heightened price volatility, particularly in South-East Europe. Despite advancements in market coupling, slow progress in grid reinforcements and the high cost of remedial actions, including EUR 4.3 billion spent on redispatching in 2024, demonstrate that current infrastructure development is not keeping pace with rapid RES expansion. These findings underline the urgency of accelerating interconnection projects, improving bidding-zone configurations, and maximizing the use of existing grid assets - measures that lie at the core of a resilient and future-proof TEN-E framework.</w:t>
            </w:r>
          </w:p>
          <w:p w14:paraId="659691FD" w14:textId="77777777" w:rsidR="004A58F8" w:rsidRPr="004A58F8" w:rsidRDefault="004A58F8" w:rsidP="004A58F8">
            <w:pPr>
              <w:spacing w:line="276" w:lineRule="auto"/>
              <w:jc w:val="both"/>
              <w:rPr>
                <w:rFonts w:ascii="Calibri" w:hAnsi="Calibri" w:cs="Calibri"/>
                <w:b/>
                <w:bCs/>
                <w:sz w:val="22"/>
                <w:szCs w:val="22"/>
                <w:lang w:val="en-GB"/>
              </w:rPr>
            </w:pPr>
          </w:p>
          <w:p w14:paraId="5C6B86C7" w14:textId="77777777" w:rsidR="004A58F8" w:rsidRPr="004A58F8" w:rsidRDefault="004A58F8" w:rsidP="004A58F8">
            <w:pPr>
              <w:spacing w:line="276" w:lineRule="auto"/>
              <w:jc w:val="both"/>
              <w:rPr>
                <w:rFonts w:ascii="Calibri" w:hAnsi="Calibri" w:cs="Calibri"/>
                <w:b/>
                <w:bCs/>
                <w:sz w:val="22"/>
                <w:szCs w:val="22"/>
                <w:lang w:val="en-GB"/>
              </w:rPr>
            </w:pPr>
            <w:r w:rsidRPr="004A58F8">
              <w:rPr>
                <w:rFonts w:ascii="Calibri" w:hAnsi="Calibri" w:cs="Calibri"/>
                <w:b/>
                <w:bCs/>
                <w:sz w:val="22"/>
                <w:szCs w:val="22"/>
                <w:lang w:val="en-GB"/>
              </w:rPr>
              <w:t>From Policy to Impact: ACER’s Influence on Europe’s Energy Future</w:t>
            </w:r>
          </w:p>
          <w:p w14:paraId="241E6167" w14:textId="77777777" w:rsidR="004A58F8" w:rsidRPr="004A58F8" w:rsidRDefault="004A58F8" w:rsidP="004A58F8">
            <w:pPr>
              <w:spacing w:line="276" w:lineRule="auto"/>
              <w:jc w:val="both"/>
              <w:rPr>
                <w:rFonts w:ascii="Calibri" w:hAnsi="Calibri" w:cs="Calibri"/>
                <w:sz w:val="22"/>
                <w:szCs w:val="22"/>
                <w:lang w:val="en-GB"/>
              </w:rPr>
            </w:pPr>
            <w:r w:rsidRPr="004A58F8">
              <w:rPr>
                <w:rFonts w:ascii="Calibri" w:hAnsi="Calibri" w:cs="Calibri"/>
                <w:sz w:val="22"/>
                <w:szCs w:val="22"/>
                <w:lang w:val="en-GB"/>
              </w:rPr>
              <w:t>The significance of these recommendations is heightened by current energy challenges in Europe and Greece. The rapid growth of RES requires not only grid reinforcement but also efficient cross-border coordination to integrate intermittent sources without compromising security of supply. Market coupling and the target model have transformed electricity trading across borders, demanding faster and more transparent infrastructure planning. Moreover, the European Green Deal and the goal for attainment of climate neutrality by 2050 reinforce the need for accelerated deployment of low-carbon technologies and diversified energy sources.</w:t>
            </w:r>
          </w:p>
          <w:p w14:paraId="3C8B6F7B" w14:textId="77777777" w:rsidR="004A58F8" w:rsidRPr="004A58F8" w:rsidRDefault="004A58F8" w:rsidP="004A58F8">
            <w:pPr>
              <w:spacing w:line="276" w:lineRule="auto"/>
              <w:jc w:val="both"/>
              <w:rPr>
                <w:rFonts w:ascii="Calibri" w:hAnsi="Calibri" w:cs="Calibri"/>
                <w:sz w:val="22"/>
                <w:szCs w:val="22"/>
                <w:lang w:val="en-GB"/>
              </w:rPr>
            </w:pPr>
            <w:r w:rsidRPr="004A58F8">
              <w:rPr>
                <w:rFonts w:ascii="Calibri" w:hAnsi="Calibri" w:cs="Calibri"/>
                <w:sz w:val="22"/>
                <w:szCs w:val="22"/>
                <w:lang w:val="en-GB"/>
              </w:rPr>
              <w:t xml:space="preserve">For Greece, these developments are particularly significant. Strengthening grid interconnections with neighboring countries, accommodating increasing RES penetration, and creating investment incentives are all crucial for diversifying energy supply, enhancing energy security, improving cost-efficiency, and promoting sustainability. ACER’s proposals support both the EU’s collective objectives and national priorities, ensuring that infrastructure development aligns with environmental, economic, and security goals. </w:t>
            </w:r>
          </w:p>
          <w:p w14:paraId="4C408AF7" w14:textId="77777777" w:rsidR="004A58F8" w:rsidRPr="004A58F8" w:rsidRDefault="004A58F8" w:rsidP="004A58F8">
            <w:pPr>
              <w:spacing w:line="276" w:lineRule="auto"/>
              <w:jc w:val="both"/>
              <w:rPr>
                <w:rFonts w:ascii="Calibri" w:hAnsi="Calibri" w:cs="Calibri"/>
                <w:sz w:val="22"/>
                <w:szCs w:val="22"/>
                <w:lang w:val="en-GB"/>
              </w:rPr>
            </w:pPr>
            <w:r w:rsidRPr="004A58F8">
              <w:rPr>
                <w:rFonts w:ascii="Calibri" w:hAnsi="Calibri" w:cs="Calibri"/>
                <w:sz w:val="22"/>
                <w:szCs w:val="22"/>
                <w:lang w:val="en-GB"/>
              </w:rPr>
              <w:lastRenderedPageBreak/>
              <w:t xml:space="preserve">A flagship example of strategic importance of Euro-Mediterranean interconnections is the GREGY- Elica Interconnector, a 3 GW HVDC submarine link that will transmit green electricity from Egypt directly to mainland Greece. The project, included in the EU’s first PCI/PMI list and the Global Gateway initiative, was further reinforced by the tripartite MoU signed in October 2025 between Greece, Egypt and the European Commission, accelerating permitting, regulatory coordination and financing. According to Elica’s project design, part of the imported renewable electricity will be allocated to large-scale electrolysers in Greece, enabling the production and export of </w:t>
            </w:r>
            <w:r w:rsidRPr="0027531D">
              <w:rPr>
                <w:rFonts w:ascii="Calibri" w:hAnsi="Calibri" w:cs="Calibri"/>
                <w:b/>
                <w:bCs/>
                <w:sz w:val="22"/>
                <w:szCs w:val="22"/>
                <w:lang w:val="en-GB"/>
              </w:rPr>
              <w:t>green hydrogen</w:t>
            </w:r>
            <w:r w:rsidRPr="004A58F8">
              <w:rPr>
                <w:rFonts w:ascii="Calibri" w:hAnsi="Calibri" w:cs="Calibri"/>
                <w:sz w:val="22"/>
                <w:szCs w:val="22"/>
                <w:lang w:val="en-GB"/>
              </w:rPr>
              <w:t xml:space="preserve"> and supporting the country’s emergence as a clean-energy hub in Southeast Europe. By replacing up to 4.5 bcm of natural gas annually and reducing CO₂ emissions by 10 million tonnes per year, the GREGY Interconnector fully aligns with ACER’s call for accelerated cross-border infrastructure deployment under a modernised TEN-E framework. </w:t>
            </w:r>
          </w:p>
          <w:p w14:paraId="631FF1EE" w14:textId="77777777" w:rsidR="004A58F8" w:rsidRPr="004A58F8" w:rsidRDefault="004A58F8" w:rsidP="004A58F8">
            <w:pPr>
              <w:spacing w:line="276" w:lineRule="auto"/>
              <w:jc w:val="both"/>
              <w:rPr>
                <w:rFonts w:ascii="Calibri" w:hAnsi="Calibri" w:cs="Calibri"/>
                <w:b/>
                <w:bCs/>
                <w:sz w:val="22"/>
                <w:szCs w:val="22"/>
                <w:lang w:val="en-GB"/>
              </w:rPr>
            </w:pPr>
          </w:p>
          <w:p w14:paraId="5B912D3F" w14:textId="77777777" w:rsidR="004A58F8" w:rsidRPr="004A58F8" w:rsidRDefault="004A58F8" w:rsidP="004A58F8">
            <w:pPr>
              <w:spacing w:line="276" w:lineRule="auto"/>
              <w:jc w:val="both"/>
              <w:rPr>
                <w:rFonts w:ascii="Calibri" w:hAnsi="Calibri" w:cs="Calibri"/>
                <w:b/>
                <w:bCs/>
                <w:sz w:val="22"/>
                <w:szCs w:val="22"/>
                <w:lang w:val="en-GB"/>
              </w:rPr>
            </w:pPr>
            <w:r w:rsidRPr="004A58F8">
              <w:rPr>
                <w:rFonts w:ascii="Calibri" w:hAnsi="Calibri" w:cs="Calibri"/>
                <w:b/>
                <w:bCs/>
                <w:sz w:val="22"/>
                <w:szCs w:val="22"/>
                <w:lang w:val="en-GB"/>
              </w:rPr>
              <w:t>In Lieu of a Conclusion</w:t>
            </w:r>
          </w:p>
          <w:p w14:paraId="6B81B867" w14:textId="77777777" w:rsidR="004A58F8" w:rsidRPr="004A58F8" w:rsidRDefault="004A58F8" w:rsidP="004A58F8">
            <w:pPr>
              <w:spacing w:line="276" w:lineRule="auto"/>
              <w:jc w:val="both"/>
              <w:rPr>
                <w:rFonts w:ascii="Calibri" w:hAnsi="Calibri" w:cs="Calibri"/>
                <w:sz w:val="22"/>
                <w:szCs w:val="22"/>
                <w:lang w:val="en-GB"/>
              </w:rPr>
            </w:pPr>
            <w:r w:rsidRPr="004A58F8">
              <w:rPr>
                <w:rFonts w:ascii="Calibri" w:hAnsi="Calibri" w:cs="Calibri"/>
                <w:sz w:val="22"/>
                <w:szCs w:val="22"/>
                <w:lang w:val="en-GB"/>
              </w:rPr>
              <w:t xml:space="preserve">ACER’s recommendations for revising the TEN-E Regulation provide a timely and strategic roadmap for modernizing Europe’s energy infrastructure. By proposing targeted reforms that reduce bureaucracy, enhance transparency, improve coordination, and strengthen regulatory oversight, ACER offers a framework that can accelerate grid development, lower costs, and better integrate renewable energy sources. Yet this modernization is not merely technical-it represents a broader renewal of Europe’s energy architecture, which can only be fully realized with clear political commitment from Member States. As the European Commission prepares its Grids Package, ACER’s recommendations will play a pivotal role in guiding the development of resilient and sustainable networks across the continent. </w:t>
            </w:r>
          </w:p>
          <w:p w14:paraId="6A8C448C" w14:textId="77777777" w:rsidR="004A58F8" w:rsidRPr="004A58F8" w:rsidRDefault="004A58F8" w:rsidP="004A58F8">
            <w:pPr>
              <w:spacing w:line="276" w:lineRule="auto"/>
              <w:jc w:val="both"/>
              <w:rPr>
                <w:rFonts w:ascii="Calibri" w:hAnsi="Calibri" w:cs="Calibri"/>
                <w:sz w:val="22"/>
                <w:szCs w:val="22"/>
                <w:lang w:val="en-GB"/>
              </w:rPr>
            </w:pPr>
            <w:r w:rsidRPr="004A58F8">
              <w:rPr>
                <w:rFonts w:ascii="Calibri" w:hAnsi="Calibri" w:cs="Calibri"/>
                <w:sz w:val="22"/>
                <w:szCs w:val="22"/>
                <w:lang w:val="en-GB"/>
              </w:rPr>
              <w:t>In a Europe evolving faster than its own projections, energy networks are no longer mere background infrastructure but the strategic foundation upon which competitiveness, climate neutrality, and energy security will depend.</w:t>
            </w:r>
          </w:p>
          <w:p w14:paraId="73839D1F" w14:textId="222E95E3" w:rsidR="0024220E" w:rsidRPr="004A58F8" w:rsidRDefault="004A58F8" w:rsidP="004A58F8">
            <w:pPr>
              <w:spacing w:after="160" w:line="278" w:lineRule="auto"/>
              <w:jc w:val="both"/>
              <w:rPr>
                <w:rFonts w:ascii="Aptos" w:eastAsia="Aptos" w:hAnsi="Aptos" w:cs="Arial"/>
                <w:lang w:val="en-GB" w:eastAsia="en-US"/>
              </w:rPr>
            </w:pPr>
            <w:r w:rsidRPr="004A58F8">
              <w:rPr>
                <w:rFonts w:ascii="Calibri" w:hAnsi="Calibri" w:cs="Calibri"/>
                <w:sz w:val="22"/>
                <w:szCs w:val="22"/>
                <w:lang w:val="en-GB"/>
              </w:rPr>
              <w:t>As energy flows through cables and pipelines, Europe’s future will flow from the decisions made today</w:t>
            </w:r>
            <w:r w:rsidR="00DA23BC" w:rsidRPr="004A58F8">
              <w:rPr>
                <w:rFonts w:ascii="Calibri" w:hAnsi="Calibri" w:cs="Calibri"/>
                <w:sz w:val="22"/>
                <w:szCs w:val="22"/>
                <w:lang w:val="en-GB"/>
              </w:rPr>
              <w:t>.</w:t>
            </w:r>
          </w:p>
          <w:p w14:paraId="69F0CE65" w14:textId="3E5577C8" w:rsidR="000C4EC9" w:rsidRPr="00BC3D55" w:rsidRDefault="000C4EC9" w:rsidP="00A85DE3">
            <w:pPr>
              <w:spacing w:line="288" w:lineRule="auto"/>
              <w:jc w:val="center"/>
              <w:rPr>
                <w:rFonts w:asciiTheme="minorHAnsi" w:hAnsiTheme="minorHAnsi" w:cstheme="minorHAnsi"/>
                <w:b/>
                <w:sz w:val="26"/>
                <w:szCs w:val="26"/>
                <w:lang w:val="en-GB"/>
              </w:rPr>
            </w:pPr>
          </w:p>
        </w:tc>
      </w:tr>
    </w:tbl>
    <w:p w14:paraId="705683C5" w14:textId="77777777" w:rsidR="0024220E" w:rsidRPr="00BC3D55" w:rsidRDefault="0024220E" w:rsidP="00433631">
      <w:pPr>
        <w:pStyle w:val="a5"/>
        <w:spacing w:line="360" w:lineRule="auto"/>
        <w:jc w:val="center"/>
        <w:rPr>
          <w:lang w:val="en-GB"/>
        </w:rPr>
      </w:pPr>
      <w:bookmarkStart w:id="0" w:name="str_179"/>
      <w:bookmarkStart w:id="1" w:name="str_181"/>
      <w:bookmarkStart w:id="2" w:name="str_182"/>
      <w:bookmarkStart w:id="3" w:name="str_183"/>
      <w:bookmarkEnd w:id="0"/>
      <w:bookmarkEnd w:id="1"/>
      <w:bookmarkEnd w:id="2"/>
      <w:bookmarkEnd w:id="3"/>
    </w:p>
    <w:p w14:paraId="15F3864A" w14:textId="77777777" w:rsidR="0024220E" w:rsidRPr="00BC3D55" w:rsidRDefault="0024220E" w:rsidP="00433631">
      <w:pPr>
        <w:pStyle w:val="a5"/>
        <w:spacing w:line="360" w:lineRule="auto"/>
        <w:jc w:val="center"/>
        <w:rPr>
          <w:lang w:val="en-GB"/>
        </w:rPr>
      </w:pPr>
    </w:p>
    <w:p w14:paraId="70C2C6D7" w14:textId="420A0877" w:rsidR="008D1745" w:rsidRPr="00BC3D55" w:rsidRDefault="008D1745" w:rsidP="00433631">
      <w:pPr>
        <w:pStyle w:val="a5"/>
        <w:spacing w:line="360" w:lineRule="auto"/>
        <w:jc w:val="center"/>
        <w:rPr>
          <w:rFonts w:ascii="Arial Nova" w:hAnsi="Arial Nova"/>
          <w:lang w:val="en-GB"/>
        </w:rPr>
      </w:pPr>
      <w:hyperlink r:id="rId14" w:history="1">
        <w:r w:rsidRPr="00BC3D55">
          <w:rPr>
            <w:rStyle w:val="-"/>
            <w:rFonts w:ascii="Arial Nova" w:hAnsi="Arial Nova"/>
            <w:lang w:val="en-GB"/>
          </w:rPr>
          <w:t>Follow us on LinkedIn</w:t>
        </w:r>
      </w:hyperlink>
    </w:p>
    <w:p w14:paraId="7B531BF7" w14:textId="77777777" w:rsidR="008D1745" w:rsidRPr="00BC3D55" w:rsidRDefault="008D1745" w:rsidP="008D1745">
      <w:pPr>
        <w:pStyle w:val="a5"/>
        <w:spacing w:line="360" w:lineRule="auto"/>
        <w:rPr>
          <w:rFonts w:ascii="Arial Nova" w:hAnsi="Arial Nova"/>
          <w:lang w:val="en-GB"/>
        </w:rPr>
      </w:pPr>
      <w:r w:rsidRPr="00BC3D55">
        <w:rPr>
          <w:rFonts w:ascii="Arial Nova" w:hAnsi="Arial Nova"/>
          <w:noProof/>
          <w:lang w:val="en-GB"/>
        </w:rPr>
        <w:drawing>
          <wp:anchor distT="0" distB="0" distL="114300" distR="114300" simplePos="0" relativeHeight="251668480" behindDoc="0" locked="0" layoutInCell="1" allowOverlap="1" wp14:anchorId="3B64BEF0" wp14:editId="22FDC0ED">
            <wp:simplePos x="0" y="0"/>
            <wp:positionH relativeFrom="column">
              <wp:posOffset>2007235</wp:posOffset>
            </wp:positionH>
            <wp:positionV relativeFrom="paragraph">
              <wp:posOffset>148590</wp:posOffset>
            </wp:positionV>
            <wp:extent cx="1457325" cy="355600"/>
            <wp:effectExtent l="0" t="0" r="0" b="6350"/>
            <wp:wrapSquare wrapText="bothSides"/>
            <wp:docPr id="1169568752" name="Picture 1169568752">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282438" name="Picture 670282438">
                      <a:hlinkClick r:id="rId14"/>
                    </pic:cNvP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57325" cy="355600"/>
                    </a:xfrm>
                    <a:prstGeom prst="rect">
                      <a:avLst/>
                    </a:prstGeom>
                    <a:noFill/>
                    <a:ln>
                      <a:noFill/>
                    </a:ln>
                  </pic:spPr>
                </pic:pic>
              </a:graphicData>
            </a:graphic>
          </wp:anchor>
        </w:drawing>
      </w:r>
    </w:p>
    <w:p w14:paraId="71F821D5" w14:textId="77777777" w:rsidR="00691644" w:rsidRPr="00BC3D55" w:rsidRDefault="00691644">
      <w:pPr>
        <w:rPr>
          <w:rFonts w:asciiTheme="minorHAnsi" w:hAnsiTheme="minorHAnsi" w:cstheme="minorHAnsi"/>
          <w:lang w:val="en-GB"/>
        </w:rPr>
      </w:pPr>
    </w:p>
    <w:sectPr w:rsidR="00691644" w:rsidRPr="00BC3D55" w:rsidSect="00BD41B9">
      <w:headerReference w:type="default" r:id="rId16"/>
      <w:footerReference w:type="default" r:id="rId17"/>
      <w:pgSz w:w="11906" w:h="16838"/>
      <w:pgMar w:top="1440" w:right="1800" w:bottom="1440" w:left="180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5A6E1A" w14:textId="77777777" w:rsidR="000D776E" w:rsidRDefault="000D776E" w:rsidP="00BD41B9">
      <w:r>
        <w:separator/>
      </w:r>
    </w:p>
  </w:endnote>
  <w:endnote w:type="continuationSeparator" w:id="0">
    <w:p w14:paraId="5B6492B6" w14:textId="77777777" w:rsidR="000D776E" w:rsidRDefault="000D776E" w:rsidP="00BD41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A1"/>
    <w:family w:val="modern"/>
    <w:pitch w:val="fixed"/>
    <w:sig w:usb0="E0002EFF" w:usb1="C0007843"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A1"/>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A1"/>
    <w:family w:val="swiss"/>
    <w:pitch w:val="variable"/>
    <w:sig w:usb0="E0002EFF" w:usb1="C000785B" w:usb2="00000009" w:usb3="00000000" w:csb0="000001FF"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17672" w14:textId="332D0478" w:rsidR="00646ADE" w:rsidRDefault="00646ADE" w:rsidP="00646ADE">
    <w:pPr>
      <w:pStyle w:val="a5"/>
      <w:jc w:val="center"/>
      <w:rPr>
        <w:lang w:val="en-US"/>
      </w:rPr>
    </w:pPr>
    <w:hyperlink r:id="rId1" w:history="1">
      <w:r w:rsidRPr="00D05350">
        <w:rPr>
          <w:rStyle w:val="-"/>
          <w:lang w:val="en-US"/>
        </w:rPr>
        <w:t>www.rokas.com</w:t>
      </w:r>
    </w:hyperlink>
  </w:p>
  <w:p w14:paraId="1D5EC3A7" w14:textId="77777777" w:rsidR="00646ADE" w:rsidRPr="00646ADE" w:rsidRDefault="00646ADE">
    <w:pPr>
      <w:pStyle w:val="a5"/>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F18586" w14:textId="77777777" w:rsidR="000D776E" w:rsidRDefault="000D776E" w:rsidP="00BD41B9">
      <w:r>
        <w:separator/>
      </w:r>
    </w:p>
  </w:footnote>
  <w:footnote w:type="continuationSeparator" w:id="0">
    <w:p w14:paraId="64694394" w14:textId="77777777" w:rsidR="000D776E" w:rsidRDefault="000D776E" w:rsidP="00BD41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7C4B6" w14:textId="1CE33EBD" w:rsidR="00BD41B9" w:rsidRDefault="00BD41B9">
    <w:pPr>
      <w:pStyle w:val="a4"/>
    </w:pPr>
    <w:r>
      <w:rPr>
        <w:noProof/>
      </w:rPr>
      <w:drawing>
        <wp:inline distT="0" distB="0" distL="0" distR="0" wp14:anchorId="54EA8E4F" wp14:editId="374776B1">
          <wp:extent cx="1539025" cy="385590"/>
          <wp:effectExtent l="0" t="0" r="4445" b="0"/>
          <wp:docPr id="1719682918" name="Picture 1" descr="A blue letter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682918" name="Picture 1" descr="A blue letters on a black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568388" cy="39294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83442"/>
    <w:multiLevelType w:val="multilevel"/>
    <w:tmpl w:val="9AFA18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Symbol" w:eastAsia="Times New Roman" w:hAnsi="Symbol" w:cstheme="minorHAnsi"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C0468F"/>
    <w:multiLevelType w:val="hybridMultilevel"/>
    <w:tmpl w:val="7A8CD256"/>
    <w:lvl w:ilvl="0" w:tplc="04080015">
      <w:start w:val="1"/>
      <w:numFmt w:val="upp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12561BA2"/>
    <w:multiLevelType w:val="hybridMultilevel"/>
    <w:tmpl w:val="B8B6B47E"/>
    <w:lvl w:ilvl="0" w:tplc="012E865E">
      <w:start w:val="3"/>
      <w:numFmt w:val="upperRoman"/>
      <w:lvlText w:val="%1."/>
      <w:lvlJc w:val="right"/>
      <w:pPr>
        <w:ind w:left="720" w:hanging="360"/>
      </w:pPr>
      <w:rPr>
        <w:rFonts w:asciiTheme="minorHAnsi" w:hAnsiTheme="minorHAnsi" w:cstheme="minorHAnsi"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4CF4337"/>
    <w:multiLevelType w:val="hybridMultilevel"/>
    <w:tmpl w:val="D08E7A8E"/>
    <w:lvl w:ilvl="0" w:tplc="26FE2A40">
      <w:start w:val="4"/>
      <w:numFmt w:val="upperRoman"/>
      <w:lvlText w:val="%1."/>
      <w:lvlJc w:val="right"/>
      <w:pPr>
        <w:ind w:left="720" w:hanging="360"/>
      </w:pPr>
      <w:rPr>
        <w:rFonts w:asciiTheme="minorHAnsi" w:hAnsiTheme="minorHAnsi" w:cstheme="minorHAnsi"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9077318"/>
    <w:multiLevelType w:val="hybridMultilevel"/>
    <w:tmpl w:val="D06427E4"/>
    <w:lvl w:ilvl="0" w:tplc="04080015">
      <w:start w:val="1"/>
      <w:numFmt w:val="upp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458C586D"/>
    <w:multiLevelType w:val="hybridMultilevel"/>
    <w:tmpl w:val="4FD4EB7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58D415DF"/>
    <w:multiLevelType w:val="hybridMultilevel"/>
    <w:tmpl w:val="7AC8E35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625A4F8D"/>
    <w:multiLevelType w:val="multilevel"/>
    <w:tmpl w:val="5A8074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5922161"/>
    <w:multiLevelType w:val="hybridMultilevel"/>
    <w:tmpl w:val="8D963A74"/>
    <w:lvl w:ilvl="0" w:tplc="27E0171C">
      <w:start w:val="1"/>
      <w:numFmt w:val="upperRoman"/>
      <w:lvlText w:val="%1."/>
      <w:lvlJc w:val="right"/>
      <w:pPr>
        <w:ind w:left="720" w:hanging="360"/>
      </w:pPr>
      <w:rPr>
        <w:rFonts w:asciiTheme="minorHAnsi" w:hAnsiTheme="minorHAnsi" w:cstheme="minorHAnsi"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94640DE"/>
    <w:multiLevelType w:val="hybridMultilevel"/>
    <w:tmpl w:val="B1686BBC"/>
    <w:lvl w:ilvl="0" w:tplc="CA607BFC">
      <w:start w:val="2"/>
      <w:numFmt w:val="upperRoman"/>
      <w:lvlText w:val="%1."/>
      <w:lvlJc w:val="right"/>
      <w:pPr>
        <w:ind w:left="720" w:hanging="360"/>
      </w:pPr>
      <w:rPr>
        <w:rFonts w:asciiTheme="minorHAnsi" w:hAnsiTheme="minorHAnsi" w:cstheme="minorHAnsi"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C103F60"/>
    <w:multiLevelType w:val="hybridMultilevel"/>
    <w:tmpl w:val="F39C3AFC"/>
    <w:lvl w:ilvl="0" w:tplc="C4CE9134">
      <w:start w:val="1"/>
      <w:numFmt w:val="decimal"/>
      <w:lvlText w:val="%1."/>
      <w:lvlJc w:val="left"/>
      <w:pPr>
        <w:ind w:left="1080" w:hanging="72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1633558484">
    <w:abstractNumId w:val="5"/>
  </w:num>
  <w:num w:numId="2" w16cid:durableId="1624455881">
    <w:abstractNumId w:val="7"/>
  </w:num>
  <w:num w:numId="3" w16cid:durableId="1102264867">
    <w:abstractNumId w:val="8"/>
  </w:num>
  <w:num w:numId="4" w16cid:durableId="1942840023">
    <w:abstractNumId w:val="9"/>
  </w:num>
  <w:num w:numId="5" w16cid:durableId="2137748763">
    <w:abstractNumId w:val="2"/>
  </w:num>
  <w:num w:numId="6" w16cid:durableId="1830826385">
    <w:abstractNumId w:val="3"/>
  </w:num>
  <w:num w:numId="7" w16cid:durableId="1331250162">
    <w:abstractNumId w:val="0"/>
  </w:num>
  <w:num w:numId="8" w16cid:durableId="5594122">
    <w:abstractNumId w:val="1"/>
  </w:num>
  <w:num w:numId="9" w16cid:durableId="1004405411">
    <w:abstractNumId w:val="4"/>
  </w:num>
  <w:num w:numId="10" w16cid:durableId="1420709534">
    <w:abstractNumId w:val="6"/>
  </w:num>
  <w:num w:numId="11" w16cid:durableId="198530839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41B9"/>
    <w:rsid w:val="00000E84"/>
    <w:rsid w:val="000456BE"/>
    <w:rsid w:val="00045E0E"/>
    <w:rsid w:val="000C3F70"/>
    <w:rsid w:val="000C4EC9"/>
    <w:rsid w:val="000D078A"/>
    <w:rsid w:val="000D776E"/>
    <w:rsid w:val="000F0C38"/>
    <w:rsid w:val="0013221B"/>
    <w:rsid w:val="00142930"/>
    <w:rsid w:val="0016312C"/>
    <w:rsid w:val="00164376"/>
    <w:rsid w:val="001A7F34"/>
    <w:rsid w:val="001B0729"/>
    <w:rsid w:val="001B1974"/>
    <w:rsid w:val="001B246B"/>
    <w:rsid w:val="001D493E"/>
    <w:rsid w:val="001E19CC"/>
    <w:rsid w:val="001F6E75"/>
    <w:rsid w:val="0021095C"/>
    <w:rsid w:val="002201CC"/>
    <w:rsid w:val="00235ED0"/>
    <w:rsid w:val="0024220E"/>
    <w:rsid w:val="00256E38"/>
    <w:rsid w:val="00265771"/>
    <w:rsid w:val="0027531D"/>
    <w:rsid w:val="0027654C"/>
    <w:rsid w:val="002871ED"/>
    <w:rsid w:val="002A4A5E"/>
    <w:rsid w:val="002C5529"/>
    <w:rsid w:val="002D6A2D"/>
    <w:rsid w:val="002E67D0"/>
    <w:rsid w:val="002F3518"/>
    <w:rsid w:val="002F7BCF"/>
    <w:rsid w:val="00352C3B"/>
    <w:rsid w:val="003676FE"/>
    <w:rsid w:val="00390D1F"/>
    <w:rsid w:val="003C0EF9"/>
    <w:rsid w:val="003C2EFC"/>
    <w:rsid w:val="003E0B57"/>
    <w:rsid w:val="003E5023"/>
    <w:rsid w:val="003E7D01"/>
    <w:rsid w:val="00407F0D"/>
    <w:rsid w:val="00420800"/>
    <w:rsid w:val="00432536"/>
    <w:rsid w:val="00433631"/>
    <w:rsid w:val="00435A57"/>
    <w:rsid w:val="00464D25"/>
    <w:rsid w:val="00470719"/>
    <w:rsid w:val="00484E56"/>
    <w:rsid w:val="004A58F8"/>
    <w:rsid w:val="004B61A3"/>
    <w:rsid w:val="004F772E"/>
    <w:rsid w:val="00503BFD"/>
    <w:rsid w:val="0053260D"/>
    <w:rsid w:val="00544BCA"/>
    <w:rsid w:val="005545E0"/>
    <w:rsid w:val="0057253D"/>
    <w:rsid w:val="0057480E"/>
    <w:rsid w:val="00581412"/>
    <w:rsid w:val="005D0A40"/>
    <w:rsid w:val="005D7D8C"/>
    <w:rsid w:val="005F4BEA"/>
    <w:rsid w:val="005F55E9"/>
    <w:rsid w:val="006124C7"/>
    <w:rsid w:val="006248CA"/>
    <w:rsid w:val="00646ADE"/>
    <w:rsid w:val="00653A6B"/>
    <w:rsid w:val="00661963"/>
    <w:rsid w:val="00663BAB"/>
    <w:rsid w:val="006659FC"/>
    <w:rsid w:val="00691644"/>
    <w:rsid w:val="0069671B"/>
    <w:rsid w:val="006C0576"/>
    <w:rsid w:val="006C37ED"/>
    <w:rsid w:val="006E0A9E"/>
    <w:rsid w:val="00721983"/>
    <w:rsid w:val="0073166B"/>
    <w:rsid w:val="00735116"/>
    <w:rsid w:val="007358F9"/>
    <w:rsid w:val="00737F0F"/>
    <w:rsid w:val="00744C36"/>
    <w:rsid w:val="00751E37"/>
    <w:rsid w:val="007750CB"/>
    <w:rsid w:val="00775A96"/>
    <w:rsid w:val="007A4867"/>
    <w:rsid w:val="007C54CC"/>
    <w:rsid w:val="007D589D"/>
    <w:rsid w:val="007E7FC8"/>
    <w:rsid w:val="007F2A97"/>
    <w:rsid w:val="00812916"/>
    <w:rsid w:val="008419EC"/>
    <w:rsid w:val="008522D2"/>
    <w:rsid w:val="008604D4"/>
    <w:rsid w:val="0087222F"/>
    <w:rsid w:val="0087448F"/>
    <w:rsid w:val="008A2643"/>
    <w:rsid w:val="008D1745"/>
    <w:rsid w:val="00901F63"/>
    <w:rsid w:val="00903C6C"/>
    <w:rsid w:val="00925F07"/>
    <w:rsid w:val="00961EB9"/>
    <w:rsid w:val="00974AC3"/>
    <w:rsid w:val="00982DA4"/>
    <w:rsid w:val="00990F13"/>
    <w:rsid w:val="009A44F5"/>
    <w:rsid w:val="009B4420"/>
    <w:rsid w:val="009E059B"/>
    <w:rsid w:val="009E71FA"/>
    <w:rsid w:val="009F4D82"/>
    <w:rsid w:val="009F6C2E"/>
    <w:rsid w:val="00A27319"/>
    <w:rsid w:val="00A4553F"/>
    <w:rsid w:val="00A51ABC"/>
    <w:rsid w:val="00A652C1"/>
    <w:rsid w:val="00A71064"/>
    <w:rsid w:val="00A85DE3"/>
    <w:rsid w:val="00AF38DC"/>
    <w:rsid w:val="00B071DE"/>
    <w:rsid w:val="00B1261F"/>
    <w:rsid w:val="00B16058"/>
    <w:rsid w:val="00B16E3D"/>
    <w:rsid w:val="00B1783D"/>
    <w:rsid w:val="00B34B31"/>
    <w:rsid w:val="00B954CB"/>
    <w:rsid w:val="00BC3D55"/>
    <w:rsid w:val="00BD41B9"/>
    <w:rsid w:val="00C10BFD"/>
    <w:rsid w:val="00C252BC"/>
    <w:rsid w:val="00C63CA1"/>
    <w:rsid w:val="00C652BF"/>
    <w:rsid w:val="00C76C3A"/>
    <w:rsid w:val="00CA02E3"/>
    <w:rsid w:val="00CC20BC"/>
    <w:rsid w:val="00CC23DB"/>
    <w:rsid w:val="00CD51DE"/>
    <w:rsid w:val="00CE468D"/>
    <w:rsid w:val="00CF685A"/>
    <w:rsid w:val="00D5117F"/>
    <w:rsid w:val="00D53491"/>
    <w:rsid w:val="00D60AEB"/>
    <w:rsid w:val="00D7515C"/>
    <w:rsid w:val="00D81BF4"/>
    <w:rsid w:val="00D9105C"/>
    <w:rsid w:val="00DA23BC"/>
    <w:rsid w:val="00DE5DF9"/>
    <w:rsid w:val="00DE64A9"/>
    <w:rsid w:val="00E350E9"/>
    <w:rsid w:val="00E52325"/>
    <w:rsid w:val="00E654DC"/>
    <w:rsid w:val="00E66F0D"/>
    <w:rsid w:val="00E72AEB"/>
    <w:rsid w:val="00E83257"/>
    <w:rsid w:val="00EA0372"/>
    <w:rsid w:val="00EA08BB"/>
    <w:rsid w:val="00EA559F"/>
    <w:rsid w:val="00EC0479"/>
    <w:rsid w:val="00ED280A"/>
    <w:rsid w:val="00F21283"/>
    <w:rsid w:val="00F376C2"/>
    <w:rsid w:val="00F6612F"/>
    <w:rsid w:val="00F83470"/>
    <w:rsid w:val="00F87D7C"/>
    <w:rsid w:val="00FA46C8"/>
    <w:rsid w:val="00FA4FF0"/>
    <w:rsid w:val="00FB57A0"/>
    <w:rsid w:val="00FE2D8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A1E60C"/>
  <w15:chartTrackingRefBased/>
  <w15:docId w15:val="{50E702E6-4AA5-4955-A542-AF39D63F0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kern w:val="2"/>
        <w:lang w:val="el-GR" w:eastAsia="el-GR" w:bidi="ar-SA"/>
        <w14:ligatures w14:val="standardContextua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BD41B9"/>
    <w:rPr>
      <w:rFonts w:asciiTheme="minorHAnsi" w:eastAsiaTheme="minorEastAsia" w:hAnsiTheme="minorHAnsi" w:cstheme="minorBidi"/>
      <w:kern w:val="0"/>
      <w:sz w:val="22"/>
      <w:szCs w:val="22"/>
      <w:lang w:val="en-US" w:eastAsia="en-US"/>
      <w14:ligatures w14:val="none"/>
    </w:rPr>
  </w:style>
  <w:style w:type="character" w:customStyle="1" w:styleId="Char">
    <w:name w:val="Χωρίς διάστιχο Char"/>
    <w:basedOn w:val="a0"/>
    <w:link w:val="a3"/>
    <w:uiPriority w:val="1"/>
    <w:rsid w:val="00BD41B9"/>
    <w:rPr>
      <w:rFonts w:asciiTheme="minorHAnsi" w:eastAsiaTheme="minorEastAsia" w:hAnsiTheme="minorHAnsi" w:cstheme="minorBidi"/>
      <w:kern w:val="0"/>
      <w:sz w:val="22"/>
      <w:szCs w:val="22"/>
      <w:lang w:val="en-US" w:eastAsia="en-US"/>
      <w14:ligatures w14:val="none"/>
    </w:rPr>
  </w:style>
  <w:style w:type="paragraph" w:styleId="a4">
    <w:name w:val="header"/>
    <w:basedOn w:val="a"/>
    <w:link w:val="Char0"/>
    <w:rsid w:val="00BD41B9"/>
    <w:pPr>
      <w:tabs>
        <w:tab w:val="center" w:pos="4153"/>
        <w:tab w:val="right" w:pos="8306"/>
      </w:tabs>
    </w:pPr>
  </w:style>
  <w:style w:type="character" w:customStyle="1" w:styleId="Char0">
    <w:name w:val="Κεφαλίδα Char"/>
    <w:basedOn w:val="a0"/>
    <w:link w:val="a4"/>
    <w:rsid w:val="00BD41B9"/>
    <w:rPr>
      <w:sz w:val="24"/>
      <w:szCs w:val="24"/>
    </w:rPr>
  </w:style>
  <w:style w:type="paragraph" w:styleId="a5">
    <w:name w:val="footer"/>
    <w:basedOn w:val="a"/>
    <w:link w:val="Char1"/>
    <w:rsid w:val="00BD41B9"/>
    <w:pPr>
      <w:tabs>
        <w:tab w:val="center" w:pos="4153"/>
        <w:tab w:val="right" w:pos="8306"/>
      </w:tabs>
    </w:pPr>
  </w:style>
  <w:style w:type="character" w:customStyle="1" w:styleId="Char1">
    <w:name w:val="Υποσέλιδο Char"/>
    <w:basedOn w:val="a0"/>
    <w:link w:val="a5"/>
    <w:rsid w:val="00BD41B9"/>
    <w:rPr>
      <w:sz w:val="24"/>
      <w:szCs w:val="24"/>
    </w:rPr>
  </w:style>
  <w:style w:type="character" w:styleId="-">
    <w:name w:val="Hyperlink"/>
    <w:basedOn w:val="a0"/>
    <w:rsid w:val="009B4420"/>
    <w:rPr>
      <w:color w:val="0563C1" w:themeColor="hyperlink"/>
      <w:u w:val="single"/>
    </w:rPr>
  </w:style>
  <w:style w:type="character" w:styleId="a6">
    <w:name w:val="Unresolved Mention"/>
    <w:basedOn w:val="a0"/>
    <w:uiPriority w:val="99"/>
    <w:semiHidden/>
    <w:unhideWhenUsed/>
    <w:rsid w:val="009B4420"/>
    <w:rPr>
      <w:color w:val="605E5C"/>
      <w:shd w:val="clear" w:color="auto" w:fill="E1DFDD"/>
    </w:rPr>
  </w:style>
  <w:style w:type="character" w:styleId="-0">
    <w:name w:val="FollowedHyperlink"/>
    <w:basedOn w:val="a0"/>
    <w:rsid w:val="00CD51DE"/>
    <w:rPr>
      <w:color w:val="954F72" w:themeColor="followedHyperlink"/>
      <w:u w:val="single"/>
    </w:rPr>
  </w:style>
  <w:style w:type="table" w:styleId="a7">
    <w:name w:val="Table Grid"/>
    <w:basedOn w:val="a1"/>
    <w:uiPriority w:val="59"/>
    <w:rsid w:val="00F212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F21283"/>
    <w:pPr>
      <w:ind w:left="720"/>
      <w:contextualSpacing/>
    </w:pPr>
  </w:style>
  <w:style w:type="paragraph" w:styleId="a9">
    <w:name w:val="footnote text"/>
    <w:basedOn w:val="a"/>
    <w:link w:val="Char2"/>
    <w:uiPriority w:val="99"/>
    <w:unhideWhenUsed/>
    <w:rsid w:val="0013221B"/>
    <w:rPr>
      <w:rFonts w:asciiTheme="minorHAnsi" w:eastAsiaTheme="minorHAnsi" w:hAnsiTheme="minorHAnsi" w:cstheme="minorBidi"/>
      <w:sz w:val="20"/>
      <w:szCs w:val="20"/>
      <w:lang w:val="en-US" w:eastAsia="en-US"/>
    </w:rPr>
  </w:style>
  <w:style w:type="character" w:customStyle="1" w:styleId="Char2">
    <w:name w:val="Κείμενο υποσημείωσης Char"/>
    <w:basedOn w:val="a0"/>
    <w:link w:val="a9"/>
    <w:uiPriority w:val="99"/>
    <w:rsid w:val="0013221B"/>
    <w:rPr>
      <w:rFonts w:asciiTheme="minorHAnsi" w:eastAsiaTheme="minorHAnsi" w:hAnsiTheme="minorHAnsi" w:cstheme="minorBidi"/>
      <w:lang w:val="en-US" w:eastAsia="en-US"/>
    </w:rPr>
  </w:style>
  <w:style w:type="character" w:styleId="aa">
    <w:name w:val="footnote reference"/>
    <w:basedOn w:val="a0"/>
    <w:uiPriority w:val="99"/>
    <w:unhideWhenUsed/>
    <w:rsid w:val="0013221B"/>
    <w:rPr>
      <w:vertAlign w:val="superscript"/>
    </w:rPr>
  </w:style>
  <w:style w:type="character" w:styleId="ab">
    <w:name w:val="Strong"/>
    <w:basedOn w:val="a0"/>
    <w:uiPriority w:val="22"/>
    <w:qFormat/>
    <w:rsid w:val="00DE64A9"/>
    <w:rPr>
      <w:b/>
      <w:bCs/>
    </w:rPr>
  </w:style>
  <w:style w:type="paragraph" w:customStyle="1" w:styleId="wyq050---odeljak">
    <w:name w:val="wyq050---odeljak"/>
    <w:basedOn w:val="a"/>
    <w:rsid w:val="00DE64A9"/>
    <w:pPr>
      <w:spacing w:before="100" w:beforeAutospacing="1" w:after="100" w:afterAutospacing="1"/>
    </w:pPr>
    <w:rPr>
      <w:kern w:val="0"/>
      <w:lang w:val="en-US"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7715634">
      <w:bodyDiv w:val="1"/>
      <w:marLeft w:val="0"/>
      <w:marRight w:val="0"/>
      <w:marTop w:val="0"/>
      <w:marBottom w:val="0"/>
      <w:divBdr>
        <w:top w:val="none" w:sz="0" w:space="0" w:color="auto"/>
        <w:left w:val="none" w:sz="0" w:space="0" w:color="auto"/>
        <w:bottom w:val="none" w:sz="0" w:space="0" w:color="auto"/>
        <w:right w:val="none" w:sz="0" w:space="0" w:color="auto"/>
      </w:divBdr>
    </w:div>
    <w:div w:id="1982074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jpeg"/><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company/rokas-law-fir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roka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B5859CAB6A1D64181E48CF43990205C" ma:contentTypeVersion="19" ma:contentTypeDescription="Create a new document." ma:contentTypeScope="" ma:versionID="0d2d2b0538640c7362ad6c055748919e">
  <xsd:schema xmlns:xsd="http://www.w3.org/2001/XMLSchema" xmlns:xs="http://www.w3.org/2001/XMLSchema" xmlns:p="http://schemas.microsoft.com/office/2006/metadata/properties" xmlns:ns2="07373808-a26f-42a8-b3eb-fd017e1d72fe" xmlns:ns3="aba4ebed-5601-469d-a03b-67b9039d1904" targetNamespace="http://schemas.microsoft.com/office/2006/metadata/properties" ma:root="true" ma:fieldsID="d63ce142b00fe015fafd2edfe03f777f" ns2:_="" ns3:_="">
    <xsd:import namespace="07373808-a26f-42a8-b3eb-fd017e1d72fe"/>
    <xsd:import namespace="aba4ebed-5601-469d-a03b-67b9039d1904"/>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LengthInSecond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2:SharedWithUsers" minOccurs="0"/>
                <xsd:element ref="ns2:SharedWithDetails" minOccurs="0"/>
                <xsd:element ref="ns3:MediaServiceAutoKeyPoints" minOccurs="0"/>
                <xsd:element ref="ns3:MediaServiceKeyPoint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373808-a26f-42a8-b3eb-fd017e1d72f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cd39218f-c314-4a67-9eae-8918b2c4bb33}" ma:internalName="TaxCatchAll" ma:showField="CatchAllData" ma:web="07373808-a26f-42a8-b3eb-fd017e1d72f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ba4ebed-5601-469d-a03b-67b9039d190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LengthInSeconds" ma:index="13" nillable="true" ma:displayName="Length (seconds)" ma:internalName="MediaLengthInSeconds" ma:readOnly="true">
      <xsd:simpleType>
        <xsd:restriction base="dms:Unknow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ServiceLocation" ma:index="23" nillable="true" ma:displayName="Location" ma:internalName="MediaServiceLocation" ma:readOnly="true">
      <xsd:simpleType>
        <xsd:restriction base="dms:Text"/>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a0ddb97d-2ec1-458b-9b21-9662d64b0a1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dlc_DocId xmlns="07373808-a26f-42a8-b3eb-fd017e1d72fe">6WNPX6TT7VPV-1664350215-463950</_dlc_DocId>
    <_dlc_DocIdUrl xmlns="07373808-a26f-42a8-b3eb-fd017e1d72fe">
      <Url>https://rokaslaw.sharepoint.com/sites/commonfiles/_layouts/15/DocIdRedir.aspx?ID=6WNPX6TT7VPV-1664350215-463950</Url>
      <Description>6WNPX6TT7VPV-1664350215-463950</Description>
    </_dlc_DocIdUrl>
    <lcf76f155ced4ddcb4097134ff3c332f xmlns="aba4ebed-5601-469d-a03b-67b9039d1904">
      <Terms xmlns="http://schemas.microsoft.com/office/infopath/2007/PartnerControls"/>
    </lcf76f155ced4ddcb4097134ff3c332f>
    <TaxCatchAll xmlns="07373808-a26f-42a8-b3eb-fd017e1d72fe"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EBAD0830-1F4C-4172-A00B-4E3902601C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373808-a26f-42a8-b3eb-fd017e1d72fe"/>
    <ds:schemaRef ds:uri="aba4ebed-5601-469d-a03b-67b9039d19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1204171-283A-462C-83AB-15F056FCEFC6}">
  <ds:schemaRefs>
    <ds:schemaRef ds:uri="http://schemas.microsoft.com/office/2006/metadata/properties"/>
    <ds:schemaRef ds:uri="http://schemas.microsoft.com/office/infopath/2007/PartnerControls"/>
    <ds:schemaRef ds:uri="07373808-a26f-42a8-b3eb-fd017e1d72fe"/>
    <ds:schemaRef ds:uri="aba4ebed-5601-469d-a03b-67b9039d1904"/>
  </ds:schemaRefs>
</ds:datastoreItem>
</file>

<file path=customXml/itemProps3.xml><?xml version="1.0" encoding="utf-8"?>
<ds:datastoreItem xmlns:ds="http://schemas.openxmlformats.org/officeDocument/2006/customXml" ds:itemID="{428D83E3-776D-43ED-9273-73927AF8120A}">
  <ds:schemaRefs>
    <ds:schemaRef ds:uri="http://schemas.openxmlformats.org/officeDocument/2006/bibliography"/>
  </ds:schemaRefs>
</ds:datastoreItem>
</file>

<file path=customXml/itemProps4.xml><?xml version="1.0" encoding="utf-8"?>
<ds:datastoreItem xmlns:ds="http://schemas.openxmlformats.org/officeDocument/2006/customXml" ds:itemID="{C6237591-6472-4F66-B23F-91E78AA716CD}">
  <ds:schemaRefs>
    <ds:schemaRef ds:uri="http://schemas.microsoft.com/sharepoint/v3/contenttype/forms"/>
  </ds:schemaRefs>
</ds:datastoreItem>
</file>

<file path=customXml/itemProps5.xml><?xml version="1.0" encoding="utf-8"?>
<ds:datastoreItem xmlns:ds="http://schemas.openxmlformats.org/officeDocument/2006/customXml" ds:itemID="{39163767-0F5B-4608-868B-99CB101F109A}">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5</Pages>
  <Words>1639</Words>
  <Characters>8854</Characters>
  <Application>Microsoft Office Word</Application>
  <DocSecurity>0</DocSecurity>
  <Lines>73</Lines>
  <Paragraphs>20</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ROKAS</vt:lpstr>
      <vt:lpstr/>
    </vt:vector>
  </TitlesOfParts>
  <Company/>
  <LinksUpToDate>false</LinksUpToDate>
  <CharactersWithSpaces>10473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ROKAS</dc:title>
  <dc:subject>Articles for Lexology</dc:subject>
  <dc:creator>Valia Masoura</dc:creator>
  <cp:keywords/>
  <dc:description/>
  <cp:lastModifiedBy>RLF</cp:lastModifiedBy>
  <cp:revision>3</cp:revision>
  <cp:lastPrinted>2024-12-13T13:42:00Z</cp:lastPrinted>
  <dcterms:created xsi:type="dcterms:W3CDTF">2025-11-04T14:23:00Z</dcterms:created>
  <dcterms:modified xsi:type="dcterms:W3CDTF">2025-11-19T14:04:00Z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f14f7e4e-8f47-4a55-8240-222a80706cc1</vt:lpwstr>
  </property>
  <property fmtid="{D5CDD505-2E9C-101B-9397-08002B2CF9AE}" pid="3" name="ContentTypeId">
    <vt:lpwstr>0x010100AB5859CAB6A1D64181E48CF43990205C</vt:lpwstr>
  </property>
  <property fmtid="{D5CDD505-2E9C-101B-9397-08002B2CF9AE}" pid="4" name="_dlc_DocIdItemGuid">
    <vt:lpwstr>6a8e0f06-bd0f-402e-a448-7638d1041e35</vt:lpwstr>
  </property>
  <property fmtid="{D5CDD505-2E9C-101B-9397-08002B2CF9AE}" pid="5" name="MediaServiceImageTags">
    <vt:lpwstr/>
  </property>
</Properties>
</file>