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67745439"/>
        <w:docPartObj>
          <w:docPartGallery w:val="Cover Pages"/>
          <w:docPartUnique/>
        </w:docPartObj>
      </w:sdtPr>
      <w:sdtEndPr>
        <w:rPr>
          <w:lang w:val="en-US"/>
        </w:rPr>
      </w:sdtEndPr>
      <w:sdtContent>
        <w:p w14:paraId="185FB065" w14:textId="74350956" w:rsidR="00BD41B9" w:rsidRDefault="00BD41B9">
          <w:r>
            <w:rPr>
              <w:noProof/>
            </w:rPr>
            <mc:AlternateContent>
              <mc:Choice Requires="wpg">
                <w:drawing>
                  <wp:anchor distT="0" distB="0" distL="114300" distR="114300" simplePos="0" relativeHeight="251658240" behindDoc="1" locked="0" layoutInCell="1" allowOverlap="1" wp14:anchorId="29FED947" wp14:editId="30E23051">
                    <wp:simplePos x="0" y="0"/>
                    <wp:positionH relativeFrom="page">
                      <wp:align>center</wp:align>
                    </wp:positionH>
                    <wp:positionV relativeFrom="page">
                      <wp:align>center</wp:align>
                    </wp:positionV>
                    <wp:extent cx="6858000" cy="9144000"/>
                    <wp:effectExtent l="0" t="0" r="2540" b="635"/>
                    <wp:wrapNone/>
                    <wp:docPr id="48" name="Group 14"/>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g:grpSp>
                            <wpg:cNvPr id="49" name="Group 49"/>
                            <wpg:cNvGrpSpPr/>
                            <wpg:grpSpPr>
                              <a:xfrm>
                                <a:off x="0" y="0"/>
                                <a:ext cx="6858000" cy="9144000"/>
                                <a:chOff x="0" y="0"/>
                                <a:chExt cx="6858000" cy="9144000"/>
                              </a:xfrm>
                            </wpg:grpSpPr>
                            <wps:wsp>
                              <wps:cNvPr id="54" name="Rectangle 54"/>
                              <wps:cNvSpPr/>
                              <wps:spPr>
                                <a:xfrm>
                                  <a:off x="0" y="0"/>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1A5A57" w14:textId="77777777" w:rsidR="00BD41B9" w:rsidRDefault="00BD41B9">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4E2F1589" w14:textId="6B4FB4BE" w:rsidR="00BD41B9" w:rsidRDefault="00BD41B9">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F5A08C0" w14:textId="2787CFC0" w:rsidR="00BD41B9" w:rsidRPr="006C37ED" w:rsidRDefault="0016312C">
                                      <w:pPr>
                                        <w:pStyle w:val="NoSpacing"/>
                                        <w:spacing w:before="120"/>
                                        <w:rPr>
                                          <w:color w:val="FFFFFF" w:themeColor="background1"/>
                                          <w:sz w:val="36"/>
                                          <w:szCs w:val="36"/>
                                        </w:rPr>
                                      </w:pPr>
                                      <w:r>
                                        <w:rPr>
                                          <w:color w:val="FFFFFF" w:themeColor="background1"/>
                                          <w:sz w:val="36"/>
                                          <w:szCs w:val="36"/>
                                        </w:rPr>
                                        <w:t>Articles for Lexology</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9FED947" id="Group 14" o:spid="_x0000_s1026" style="position:absolute;margin-left:0;margin-top:0;width:540pt;height:10in;z-index:-251658240;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2D1A5A57" w14:textId="77777777" w:rsidR="00BD41B9" w:rsidRDefault="00BD41B9">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4E2F1589" w14:textId="6B4FB4BE" w:rsidR="00BD41B9" w:rsidRDefault="00BD41B9">
                                <w:pPr>
                                  <w:pStyle w:val="NoSpacing"/>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7F5A08C0" w14:textId="2787CFC0" w:rsidR="00BD41B9" w:rsidRPr="006C37ED" w:rsidRDefault="0016312C">
                                <w:pPr>
                                  <w:pStyle w:val="NoSpacing"/>
                                  <w:spacing w:before="120"/>
                                  <w:rPr>
                                    <w:color w:val="FFFFFF" w:themeColor="background1"/>
                                    <w:sz w:val="36"/>
                                    <w:szCs w:val="36"/>
                                  </w:rPr>
                                </w:pPr>
                                <w:r>
                                  <w:rPr>
                                    <w:color w:val="FFFFFF" w:themeColor="background1"/>
                                    <w:sz w:val="36"/>
                                    <w:szCs w:val="36"/>
                                  </w:rPr>
                                  <w:t>Articles for Lexology</w:t>
                                </w:r>
                              </w:p>
                            </w:sdtContent>
                          </w:sdt>
                        </w:txbxContent>
                      </v:textbox>
                    </v:shape>
                    <w10:wrap anchorx="page" anchory="page"/>
                  </v:group>
                </w:pict>
              </mc:Fallback>
            </mc:AlternateContent>
          </w:r>
        </w:p>
        <w:p w14:paraId="5452FFCD" w14:textId="70645DC1" w:rsidR="00BD41B9" w:rsidRDefault="00BD41B9">
          <w:pPr>
            <w:rPr>
              <w:lang w:val="en-US"/>
            </w:rPr>
          </w:pPr>
          <w:r>
            <w:rPr>
              <w:lang w:val="en-US"/>
            </w:rPr>
            <w:br w:type="page"/>
          </w:r>
        </w:p>
      </w:sdtContent>
    </w:sdt>
    <w:p w14:paraId="79791DE1" w14:textId="2B1ED9CB" w:rsidR="00982DA4" w:rsidRPr="00982DA4" w:rsidRDefault="00982DA4" w:rsidP="00982DA4">
      <w:pPr>
        <w:pStyle w:val="Footer"/>
        <w:rPr>
          <w:lang w:val="en-US"/>
        </w:rPr>
      </w:pPr>
      <w:r>
        <w:rPr>
          <w:lang w:val="en-US"/>
        </w:rPr>
        <w:lastRenderedPageBreak/>
        <w:tab/>
      </w:r>
    </w:p>
    <w:p w14:paraId="1380BC8B" w14:textId="77777777" w:rsidR="00BA6E33" w:rsidRDefault="00BA6E33" w:rsidP="00CC23DB">
      <w:pPr>
        <w:ind w:left="5040" w:firstLine="720"/>
        <w:rPr>
          <w:rFonts w:asciiTheme="minorHAnsi" w:hAnsiTheme="minorHAnsi" w:cstheme="minorHAnsi"/>
          <w:lang w:val="en-US"/>
        </w:rPr>
      </w:pPr>
    </w:p>
    <w:p w14:paraId="645B4411" w14:textId="73CE8085" w:rsidR="0057253D" w:rsidRPr="006278BA" w:rsidRDefault="00982DA4" w:rsidP="00CC23DB">
      <w:pPr>
        <w:ind w:left="5040" w:firstLine="720"/>
        <w:rPr>
          <w:lang w:val="en-US"/>
        </w:rPr>
      </w:pPr>
      <w:r w:rsidRPr="00BD41B9">
        <w:rPr>
          <w:rFonts w:asciiTheme="minorHAnsi" w:hAnsiTheme="minorHAnsi" w:cstheme="minorHAnsi"/>
          <w:lang w:val="en-US"/>
        </w:rPr>
        <w:t>Date:</w:t>
      </w:r>
      <w:r w:rsidR="00CC6DCF">
        <w:rPr>
          <w:rFonts w:asciiTheme="minorHAnsi" w:hAnsiTheme="minorHAnsi" w:cstheme="minorHAnsi"/>
          <w:lang w:val="en-US"/>
        </w:rPr>
        <w:t xml:space="preserve"> </w:t>
      </w:r>
      <w:r w:rsidR="00F067A8">
        <w:rPr>
          <w:rFonts w:asciiTheme="minorHAnsi" w:hAnsiTheme="minorHAnsi" w:cstheme="minorHAnsi"/>
          <w:lang w:val="en-US"/>
        </w:rPr>
        <w:t xml:space="preserve">April </w:t>
      </w:r>
      <w:r w:rsidR="00D269C0">
        <w:rPr>
          <w:rFonts w:asciiTheme="minorHAnsi" w:hAnsiTheme="minorHAnsi" w:cstheme="minorHAnsi"/>
          <w:lang w:val="en-US"/>
        </w:rPr>
        <w:t>15</w:t>
      </w:r>
      <w:r w:rsidR="00777D14">
        <w:rPr>
          <w:rFonts w:asciiTheme="minorHAnsi" w:hAnsiTheme="minorHAnsi" w:cstheme="minorHAnsi"/>
          <w:lang w:val="en-US"/>
        </w:rPr>
        <w:t xml:space="preserve">, </w:t>
      </w:r>
      <w:r w:rsidR="00DA10D6">
        <w:rPr>
          <w:rFonts w:asciiTheme="minorHAnsi" w:hAnsiTheme="minorHAnsi" w:cstheme="minorHAnsi"/>
          <w:lang w:val="en-US"/>
        </w:rPr>
        <w:t>202</w:t>
      </w:r>
      <w:r w:rsidR="004630BF" w:rsidRPr="006278BA">
        <w:rPr>
          <w:rFonts w:asciiTheme="minorHAnsi" w:hAnsiTheme="minorHAnsi" w:cstheme="minorHAnsi"/>
          <w:lang w:val="en-US"/>
        </w:rPr>
        <w:t>6</w:t>
      </w:r>
    </w:p>
    <w:p w14:paraId="1203988C" w14:textId="32A44E44" w:rsidR="00982DA4" w:rsidRPr="00982DA4" w:rsidRDefault="00982DA4" w:rsidP="00CC23DB">
      <w:pPr>
        <w:ind w:left="5040" w:firstLine="720"/>
        <w:rPr>
          <w:lang w:val="en-US"/>
        </w:rPr>
      </w:pPr>
      <w:r w:rsidRPr="00982DA4">
        <w:rPr>
          <w:lang w:val="en-US"/>
        </w:rPr>
        <w:t xml:space="preserve">                                                                                     </w:t>
      </w:r>
    </w:p>
    <w:p w14:paraId="587A36B4" w14:textId="77777777" w:rsidR="00211F47" w:rsidRDefault="00211F47" w:rsidP="0057253D">
      <w:pPr>
        <w:jc w:val="both"/>
        <w:rPr>
          <w:rFonts w:asciiTheme="minorHAnsi" w:hAnsiTheme="minorHAnsi" w:cstheme="minorHAnsi"/>
          <w:b/>
          <w:bCs/>
          <w:sz w:val="28"/>
          <w:szCs w:val="28"/>
          <w:lang w:val="en-US"/>
        </w:rPr>
      </w:pPr>
    </w:p>
    <w:p w14:paraId="554819D3" w14:textId="0351E23C" w:rsidR="006278BA" w:rsidRPr="00186DDD" w:rsidRDefault="00E72AEB" w:rsidP="00186DDD">
      <w:pPr>
        <w:spacing w:line="360" w:lineRule="auto"/>
        <w:jc w:val="center"/>
        <w:rPr>
          <w:rFonts w:asciiTheme="minorHAnsi" w:hAnsiTheme="minorHAnsi" w:cstheme="minorHAnsi"/>
          <w:b/>
          <w:bCs/>
          <w:sz w:val="28"/>
          <w:szCs w:val="28"/>
          <w:lang w:val="en-US"/>
        </w:rPr>
      </w:pPr>
      <w:r w:rsidRPr="009E2D1C">
        <w:rPr>
          <w:rFonts w:asciiTheme="minorHAnsi" w:hAnsiTheme="minorHAnsi" w:cstheme="minorHAnsi"/>
          <w:b/>
          <w:bCs/>
          <w:sz w:val="28"/>
          <w:szCs w:val="28"/>
          <w:lang w:val="en-US"/>
        </w:rPr>
        <w:t>Topic:</w:t>
      </w:r>
      <w:r w:rsidR="00124F72">
        <w:rPr>
          <w:rFonts w:asciiTheme="minorHAnsi" w:hAnsiTheme="minorHAnsi" w:cstheme="minorHAnsi"/>
          <w:b/>
          <w:bCs/>
          <w:sz w:val="28"/>
          <w:szCs w:val="28"/>
          <w:lang w:val="en-US"/>
        </w:rPr>
        <w:t xml:space="preserve"> “</w:t>
      </w:r>
      <w:r w:rsidR="00186DDD" w:rsidRPr="00186DDD">
        <w:rPr>
          <w:rFonts w:asciiTheme="minorHAnsi" w:hAnsiTheme="minorHAnsi" w:cstheme="minorHAnsi"/>
          <w:b/>
          <w:bCs/>
          <w:sz w:val="28"/>
          <w:szCs w:val="28"/>
          <w:lang w:val="en-US"/>
        </w:rPr>
        <w:t>Employee Digital Monitoring and Data Privacy: Where Does the Employer's Authority End?</w:t>
      </w:r>
    </w:p>
    <w:p w14:paraId="69CB01C7" w14:textId="4A1395E2" w:rsidR="0057253D" w:rsidRPr="00BA6E33" w:rsidRDefault="0057253D" w:rsidP="0057253D">
      <w:pPr>
        <w:jc w:val="both"/>
        <w:rPr>
          <w:rFonts w:asciiTheme="minorHAnsi" w:hAnsiTheme="minorHAnsi" w:cstheme="minorHAnsi"/>
          <w:b/>
          <w:bCs/>
          <w:sz w:val="28"/>
          <w:szCs w:val="28"/>
          <w:lang w:val="en-US"/>
        </w:rPr>
      </w:pPr>
    </w:p>
    <w:p w14:paraId="42B39F3D" w14:textId="4E7BE705" w:rsidR="00982DA4" w:rsidRPr="00982DA4" w:rsidRDefault="00982DA4" w:rsidP="0057253D">
      <w:pPr>
        <w:pStyle w:val="Footer"/>
        <w:jc w:val="center"/>
        <w:rPr>
          <w:lang w:val="en-US"/>
        </w:rPr>
      </w:pPr>
    </w:p>
    <w:tbl>
      <w:tblPr>
        <w:tblStyle w:val="TableGrid"/>
        <w:tblW w:w="13158"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0"/>
        <w:gridCol w:w="4158"/>
      </w:tblGrid>
      <w:tr w:rsidR="00AF79DB" w:rsidRPr="00BD02BC" w14:paraId="23A9C4D3" w14:textId="77777777" w:rsidTr="004A0BFF">
        <w:tc>
          <w:tcPr>
            <w:tcW w:w="9000" w:type="dxa"/>
          </w:tcPr>
          <w:p w14:paraId="166D7E7F" w14:textId="5FB72334" w:rsidR="00F21283" w:rsidRDefault="00F21283" w:rsidP="00F21283">
            <w:pPr>
              <w:rPr>
                <w:lang w:val="en-US"/>
              </w:rPr>
            </w:pPr>
          </w:p>
        </w:tc>
        <w:tc>
          <w:tcPr>
            <w:tcW w:w="4158" w:type="dxa"/>
            <w:vMerge w:val="restart"/>
          </w:tcPr>
          <w:p w14:paraId="6F7D54EB" w14:textId="77777777" w:rsidR="001B246B" w:rsidRDefault="001B246B" w:rsidP="001B246B">
            <w:pPr>
              <w:jc w:val="center"/>
              <w:rPr>
                <w:rFonts w:asciiTheme="minorHAnsi" w:hAnsiTheme="minorHAnsi" w:cstheme="minorHAnsi"/>
                <w:lang w:val="en-US"/>
              </w:rPr>
            </w:pPr>
          </w:p>
          <w:p w14:paraId="12D23601" w14:textId="77777777" w:rsidR="00B954CB" w:rsidRDefault="00B954CB" w:rsidP="00751366">
            <w:pPr>
              <w:rPr>
                <w:lang w:val="en-US"/>
              </w:rPr>
            </w:pPr>
          </w:p>
          <w:p w14:paraId="7C7B43B7" w14:textId="46183B7E" w:rsidR="00C252BC" w:rsidRDefault="00C252BC" w:rsidP="001B246B">
            <w:pPr>
              <w:jc w:val="center"/>
              <w:rPr>
                <w:lang w:val="en-US"/>
              </w:rPr>
            </w:pPr>
          </w:p>
          <w:p w14:paraId="31DDD09A" w14:textId="5750FA22" w:rsidR="00C16EB8" w:rsidRDefault="00C16EB8" w:rsidP="001B246B">
            <w:pPr>
              <w:jc w:val="center"/>
              <w:rPr>
                <w:lang w:val="en-US"/>
              </w:rPr>
            </w:pPr>
          </w:p>
          <w:p w14:paraId="42722335" w14:textId="2C015F1C" w:rsidR="005053AE" w:rsidRDefault="005053AE" w:rsidP="005053AE">
            <w:pPr>
              <w:pStyle w:val="NormalWeb"/>
            </w:pPr>
            <w:r>
              <w:tab/>
            </w:r>
          </w:p>
          <w:p w14:paraId="24CAD7D2" w14:textId="2FBD8A09" w:rsidR="00D654FE" w:rsidRPr="00D654FE" w:rsidRDefault="00D654FE" w:rsidP="005053AE">
            <w:pPr>
              <w:tabs>
                <w:tab w:val="left" w:pos="1200"/>
              </w:tabs>
              <w:rPr>
                <w:lang w:val="en-US"/>
              </w:rPr>
            </w:pPr>
          </w:p>
          <w:p w14:paraId="19FF4C0D" w14:textId="37CF40F1" w:rsidR="00D654FE" w:rsidRDefault="00D654FE" w:rsidP="0026347D">
            <w:pPr>
              <w:jc w:val="center"/>
              <w:rPr>
                <w:noProof/>
                <w:lang w:val="en-US"/>
              </w:rPr>
            </w:pPr>
          </w:p>
          <w:p w14:paraId="536955EF" w14:textId="77777777" w:rsidR="00751366" w:rsidRDefault="00751366" w:rsidP="0026347D">
            <w:pPr>
              <w:jc w:val="center"/>
              <w:rPr>
                <w:noProof/>
                <w:lang w:val="en-US"/>
              </w:rPr>
            </w:pPr>
          </w:p>
          <w:p w14:paraId="4835A191" w14:textId="079B1C04" w:rsidR="00751366" w:rsidRDefault="00751366" w:rsidP="0026347D">
            <w:pPr>
              <w:jc w:val="center"/>
              <w:rPr>
                <w:noProof/>
                <w:lang w:val="en-US"/>
              </w:rPr>
            </w:pPr>
          </w:p>
          <w:p w14:paraId="003F3689" w14:textId="77777777" w:rsidR="00751366" w:rsidRDefault="00751366" w:rsidP="0026347D">
            <w:pPr>
              <w:jc w:val="center"/>
              <w:rPr>
                <w:noProof/>
                <w:lang w:val="en-US"/>
              </w:rPr>
            </w:pPr>
          </w:p>
          <w:p w14:paraId="0C922A3E" w14:textId="77777777" w:rsidR="00751366" w:rsidRDefault="00751366" w:rsidP="0026347D">
            <w:pPr>
              <w:jc w:val="center"/>
              <w:rPr>
                <w:noProof/>
                <w:lang w:val="en-US"/>
              </w:rPr>
            </w:pPr>
          </w:p>
          <w:p w14:paraId="553A25EB" w14:textId="77777777" w:rsidR="00751366" w:rsidRDefault="00751366" w:rsidP="0026347D">
            <w:pPr>
              <w:jc w:val="center"/>
              <w:rPr>
                <w:noProof/>
                <w:lang w:val="en-US"/>
              </w:rPr>
            </w:pPr>
          </w:p>
          <w:p w14:paraId="100F0E8B" w14:textId="77777777" w:rsidR="00751366" w:rsidRDefault="00751366" w:rsidP="0026347D">
            <w:pPr>
              <w:jc w:val="center"/>
              <w:rPr>
                <w:noProof/>
                <w:lang w:val="en-US"/>
              </w:rPr>
            </w:pPr>
          </w:p>
          <w:p w14:paraId="1D7DB504" w14:textId="77777777" w:rsidR="00751366" w:rsidRDefault="00751366" w:rsidP="0026347D">
            <w:pPr>
              <w:jc w:val="center"/>
              <w:rPr>
                <w:noProof/>
                <w:lang w:val="en-US"/>
              </w:rPr>
            </w:pPr>
          </w:p>
          <w:p w14:paraId="6D306C22" w14:textId="7B4DD386" w:rsidR="00751366" w:rsidRDefault="00751366" w:rsidP="0026347D">
            <w:pPr>
              <w:jc w:val="center"/>
              <w:rPr>
                <w:noProof/>
                <w:lang w:val="en-US"/>
              </w:rPr>
            </w:pPr>
          </w:p>
          <w:p w14:paraId="2EA9A179" w14:textId="77777777" w:rsidR="00751366" w:rsidRDefault="00751366" w:rsidP="0026347D">
            <w:pPr>
              <w:jc w:val="center"/>
              <w:rPr>
                <w:noProof/>
                <w:lang w:val="en-US"/>
              </w:rPr>
            </w:pPr>
          </w:p>
          <w:p w14:paraId="0A7C15A6" w14:textId="77777777" w:rsidR="00751366" w:rsidRDefault="00751366" w:rsidP="0026347D">
            <w:pPr>
              <w:jc w:val="center"/>
              <w:rPr>
                <w:noProof/>
                <w:lang w:val="en-US"/>
              </w:rPr>
            </w:pPr>
          </w:p>
          <w:p w14:paraId="10484F09" w14:textId="77777777" w:rsidR="00751366" w:rsidRDefault="00751366" w:rsidP="0026347D">
            <w:pPr>
              <w:jc w:val="center"/>
              <w:rPr>
                <w:noProof/>
                <w:lang w:val="en-US"/>
              </w:rPr>
            </w:pPr>
          </w:p>
          <w:p w14:paraId="21195494" w14:textId="77777777" w:rsidR="00751366" w:rsidRDefault="00751366" w:rsidP="0026347D">
            <w:pPr>
              <w:jc w:val="center"/>
              <w:rPr>
                <w:noProof/>
                <w:lang w:val="en-US"/>
              </w:rPr>
            </w:pPr>
          </w:p>
          <w:p w14:paraId="019A9DF1" w14:textId="598AE61F" w:rsidR="004F1E0F" w:rsidRPr="00F067A8" w:rsidRDefault="004F1E0F" w:rsidP="004F1E0F">
            <w:pPr>
              <w:pStyle w:val="NormalWeb"/>
            </w:pPr>
          </w:p>
        </w:tc>
      </w:tr>
      <w:tr w:rsidR="00AF79DB" w:rsidRPr="00BD02BC" w14:paraId="1EF58878" w14:textId="77777777" w:rsidTr="004A0BFF">
        <w:trPr>
          <w:trHeight w:val="6080"/>
        </w:trPr>
        <w:tc>
          <w:tcPr>
            <w:tcW w:w="9000" w:type="dxa"/>
          </w:tcPr>
          <w:p w14:paraId="239261AE" w14:textId="54DE05CE" w:rsidR="00B954CB" w:rsidRPr="004E7D68" w:rsidRDefault="00B954CB" w:rsidP="00F21283">
            <w:pPr>
              <w:rPr>
                <w:rFonts w:asciiTheme="minorHAnsi" w:hAnsiTheme="minorHAnsi" w:cstheme="minorHAnsi"/>
                <w:b/>
                <w:bCs/>
                <w:lang w:val="en-US"/>
              </w:rPr>
            </w:pPr>
          </w:p>
          <w:p w14:paraId="4C09EF4F" w14:textId="6F689010" w:rsidR="0099292D" w:rsidRPr="004E7D68" w:rsidRDefault="0099292D" w:rsidP="0099292D">
            <w:pPr>
              <w:rPr>
                <w:rFonts w:asciiTheme="minorHAnsi" w:hAnsiTheme="minorHAnsi" w:cstheme="minorHAnsi"/>
                <w:b/>
                <w:bCs/>
                <w:lang w:val="en-US"/>
              </w:rPr>
            </w:pPr>
          </w:p>
          <w:p w14:paraId="701DE914" w14:textId="436FE039" w:rsidR="0099292D" w:rsidRPr="004E7D68" w:rsidRDefault="00832EBF" w:rsidP="0099292D">
            <w:pPr>
              <w:rPr>
                <w:rFonts w:asciiTheme="minorHAnsi" w:hAnsiTheme="minorHAnsi" w:cstheme="minorHAnsi"/>
                <w:b/>
                <w:bCs/>
                <w:lang w:val="en-US"/>
              </w:rPr>
            </w:pPr>
            <w:r w:rsidRPr="004E7D68">
              <w:rPr>
                <w:rFonts w:asciiTheme="minorHAnsi" w:hAnsiTheme="minorHAnsi" w:cstheme="minorHAnsi"/>
                <w:noProof/>
              </w:rPr>
              <w:drawing>
                <wp:anchor distT="0" distB="0" distL="114300" distR="114300" simplePos="0" relativeHeight="251662337" behindDoc="0" locked="0" layoutInCell="1" allowOverlap="1" wp14:anchorId="7165AEB0" wp14:editId="1EA43AB6">
                  <wp:simplePos x="0" y="0"/>
                  <wp:positionH relativeFrom="column">
                    <wp:posOffset>2846070</wp:posOffset>
                  </wp:positionH>
                  <wp:positionV relativeFrom="paragraph">
                    <wp:posOffset>10795</wp:posOffset>
                  </wp:positionV>
                  <wp:extent cx="2133600" cy="2133600"/>
                  <wp:effectExtent l="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269C0" w:rsidRPr="004E7D68">
              <w:rPr>
                <w:rFonts w:asciiTheme="minorHAnsi" w:hAnsiTheme="minorHAnsi" w:cstheme="minorHAnsi"/>
                <w:b/>
                <w:bCs/>
                <w:lang w:val="en-US"/>
              </w:rPr>
              <w:t>Anastasios Koletsas</w:t>
            </w:r>
          </w:p>
          <w:p w14:paraId="14647B69" w14:textId="1958D3C9" w:rsidR="00E0382F" w:rsidRPr="004E7D68" w:rsidRDefault="00124F72" w:rsidP="00E0382F">
            <w:pPr>
              <w:pStyle w:val="NormalWeb"/>
              <w:rPr>
                <w:rFonts w:asciiTheme="minorHAnsi" w:hAnsiTheme="minorHAnsi" w:cstheme="minorHAnsi"/>
              </w:rPr>
            </w:pPr>
            <w:r w:rsidRPr="004E7D68">
              <w:rPr>
                <w:rFonts w:asciiTheme="minorHAnsi" w:hAnsiTheme="minorHAnsi" w:cstheme="minorHAnsi"/>
              </w:rPr>
              <w:t>Associate</w:t>
            </w:r>
          </w:p>
          <w:p w14:paraId="53A41D82" w14:textId="72E8DB41" w:rsidR="00C43A54" w:rsidRPr="004E7D68" w:rsidRDefault="00C43A54" w:rsidP="0099292D">
            <w:pPr>
              <w:pStyle w:val="NormalWeb"/>
              <w:rPr>
                <w:rFonts w:asciiTheme="minorHAnsi" w:hAnsiTheme="minorHAnsi" w:cstheme="minorHAnsi"/>
                <w:b/>
                <w:bCs/>
              </w:rPr>
            </w:pPr>
          </w:p>
          <w:p w14:paraId="47F72273" w14:textId="13F11071" w:rsidR="0026347D" w:rsidRPr="004E7D68" w:rsidRDefault="0026347D" w:rsidP="00F21283">
            <w:pPr>
              <w:rPr>
                <w:rFonts w:asciiTheme="minorHAnsi" w:hAnsiTheme="minorHAnsi" w:cstheme="minorHAnsi"/>
                <w:lang w:val="en-US"/>
              </w:rPr>
            </w:pPr>
          </w:p>
          <w:p w14:paraId="3F1937DC" w14:textId="2DC7B8DC" w:rsidR="00DE64A9" w:rsidRPr="004E7D68" w:rsidRDefault="00DE64A9" w:rsidP="00F21283">
            <w:pPr>
              <w:rPr>
                <w:rFonts w:asciiTheme="minorHAnsi" w:hAnsiTheme="minorHAnsi" w:cstheme="minorHAnsi"/>
                <w:lang w:val="en-US"/>
              </w:rPr>
            </w:pPr>
          </w:p>
          <w:p w14:paraId="47F8554E" w14:textId="299DF89C" w:rsidR="00A45097" w:rsidRPr="004E7D68" w:rsidRDefault="00A45097" w:rsidP="00F21283">
            <w:pPr>
              <w:rPr>
                <w:rFonts w:asciiTheme="minorHAnsi" w:hAnsiTheme="minorHAnsi" w:cstheme="minorHAnsi"/>
                <w:b/>
                <w:bCs/>
                <w:lang w:val="en-US"/>
              </w:rPr>
            </w:pPr>
          </w:p>
          <w:p w14:paraId="1D1C5292" w14:textId="24739E45" w:rsidR="00A45097" w:rsidRPr="004E7D68" w:rsidRDefault="00A45097" w:rsidP="00F21283">
            <w:pPr>
              <w:rPr>
                <w:rFonts w:asciiTheme="minorHAnsi" w:hAnsiTheme="minorHAnsi" w:cstheme="minorHAnsi"/>
                <w:b/>
                <w:bCs/>
                <w:lang w:val="en-US"/>
              </w:rPr>
            </w:pPr>
          </w:p>
          <w:p w14:paraId="0E16EA22" w14:textId="42DEAC54" w:rsidR="00832EBF" w:rsidRPr="004E7D68" w:rsidRDefault="00832EBF" w:rsidP="00832EBF">
            <w:pPr>
              <w:pStyle w:val="NormalWeb"/>
              <w:rPr>
                <w:rFonts w:asciiTheme="minorHAnsi" w:hAnsiTheme="minorHAnsi" w:cstheme="minorHAnsi"/>
              </w:rPr>
            </w:pPr>
          </w:p>
          <w:p w14:paraId="13E2C65B" w14:textId="032C4901" w:rsidR="00FE3B1D" w:rsidRPr="004E7D68" w:rsidRDefault="00FE3B1D" w:rsidP="000C0C2F">
            <w:pPr>
              <w:pStyle w:val="NormalWeb"/>
              <w:rPr>
                <w:rFonts w:asciiTheme="minorHAnsi" w:hAnsiTheme="minorHAnsi" w:cstheme="minorHAnsi"/>
                <w:b/>
                <w:bCs/>
              </w:rPr>
            </w:pPr>
          </w:p>
          <w:p w14:paraId="388BCD67" w14:textId="080F2715" w:rsidR="007E010D" w:rsidRPr="004E7D68" w:rsidRDefault="00832EBF" w:rsidP="007E010D">
            <w:pPr>
              <w:pStyle w:val="NormalWeb"/>
              <w:rPr>
                <w:rFonts w:asciiTheme="minorHAnsi" w:hAnsiTheme="minorHAnsi" w:cstheme="minorHAnsi"/>
                <w:b/>
                <w:bCs/>
              </w:rPr>
            </w:pPr>
            <w:r w:rsidRPr="004E7D68">
              <w:rPr>
                <w:rFonts w:asciiTheme="minorHAnsi" w:hAnsiTheme="minorHAnsi" w:cstheme="minorHAnsi"/>
                <w:noProof/>
              </w:rPr>
              <w:drawing>
                <wp:anchor distT="0" distB="0" distL="114300" distR="114300" simplePos="0" relativeHeight="251663361" behindDoc="0" locked="0" layoutInCell="1" allowOverlap="1" wp14:anchorId="77EA14C2" wp14:editId="70DB0D90">
                  <wp:simplePos x="0" y="0"/>
                  <wp:positionH relativeFrom="column">
                    <wp:posOffset>2778760</wp:posOffset>
                  </wp:positionH>
                  <wp:positionV relativeFrom="paragraph">
                    <wp:posOffset>321310</wp:posOffset>
                  </wp:positionV>
                  <wp:extent cx="2162175" cy="2162175"/>
                  <wp:effectExtent l="0" t="0" r="9525" b="9525"/>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2175" cy="21621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21310E" w14:textId="616CD457" w:rsidR="002201CC" w:rsidRPr="004E7D68" w:rsidRDefault="00D269C0" w:rsidP="007E010D">
            <w:pPr>
              <w:pStyle w:val="NormalWeb"/>
              <w:rPr>
                <w:rFonts w:asciiTheme="minorHAnsi" w:hAnsiTheme="minorHAnsi" w:cstheme="minorHAnsi"/>
                <w:b/>
                <w:bCs/>
              </w:rPr>
            </w:pPr>
            <w:r w:rsidRPr="004E7D68">
              <w:rPr>
                <w:rFonts w:asciiTheme="minorHAnsi" w:hAnsiTheme="minorHAnsi" w:cstheme="minorHAnsi"/>
                <w:b/>
                <w:bCs/>
              </w:rPr>
              <w:t>Marily Garyfallou</w:t>
            </w:r>
          </w:p>
          <w:p w14:paraId="619BE7A6" w14:textId="77BF96BF" w:rsidR="007E010D" w:rsidRPr="004E7D68" w:rsidRDefault="006D6377" w:rsidP="007E010D">
            <w:pPr>
              <w:pStyle w:val="NormalWeb"/>
              <w:rPr>
                <w:rFonts w:asciiTheme="minorHAnsi" w:hAnsiTheme="minorHAnsi" w:cstheme="minorHAnsi"/>
              </w:rPr>
            </w:pPr>
            <w:r w:rsidRPr="004E7D68">
              <w:rPr>
                <w:rFonts w:asciiTheme="minorHAnsi" w:hAnsiTheme="minorHAnsi" w:cstheme="minorHAnsi"/>
              </w:rPr>
              <w:t xml:space="preserve">Senior </w:t>
            </w:r>
            <w:r w:rsidR="007E010D" w:rsidRPr="004E7D68">
              <w:rPr>
                <w:rFonts w:asciiTheme="minorHAnsi" w:hAnsiTheme="minorHAnsi" w:cstheme="minorHAnsi"/>
              </w:rPr>
              <w:t>Associat</w:t>
            </w:r>
            <w:r w:rsidRPr="004E7D68">
              <w:rPr>
                <w:rFonts w:asciiTheme="minorHAnsi" w:hAnsiTheme="minorHAnsi" w:cstheme="minorHAnsi"/>
              </w:rPr>
              <w:t>e</w:t>
            </w:r>
          </w:p>
          <w:p w14:paraId="01D8928F" w14:textId="795BEA69" w:rsidR="00F21283" w:rsidRPr="004E7D68" w:rsidRDefault="00F21283" w:rsidP="00F21283">
            <w:pPr>
              <w:rPr>
                <w:rFonts w:asciiTheme="minorHAnsi" w:hAnsiTheme="minorHAnsi" w:cstheme="minorHAnsi"/>
                <w:lang w:val="en-US"/>
              </w:rPr>
            </w:pPr>
          </w:p>
          <w:p w14:paraId="0CF8452D" w14:textId="6475B779" w:rsidR="000C3F70" w:rsidRPr="004E7D68" w:rsidRDefault="000C3F70" w:rsidP="00F21283">
            <w:pPr>
              <w:rPr>
                <w:rFonts w:asciiTheme="minorHAnsi" w:hAnsiTheme="minorHAnsi" w:cstheme="minorHAnsi"/>
                <w:lang w:val="en-GB"/>
              </w:rPr>
            </w:pPr>
          </w:p>
          <w:p w14:paraId="4C4B8302" w14:textId="3D7273F9" w:rsidR="00282FB5" w:rsidRPr="004E7D68" w:rsidRDefault="00282FB5" w:rsidP="00F21283">
            <w:pPr>
              <w:rPr>
                <w:rFonts w:asciiTheme="minorHAnsi" w:hAnsiTheme="minorHAnsi" w:cstheme="minorHAnsi"/>
                <w:lang w:val="en-GB"/>
              </w:rPr>
            </w:pPr>
          </w:p>
          <w:p w14:paraId="7CA29736" w14:textId="2DA75907" w:rsidR="009266BF" w:rsidRPr="004E7D68" w:rsidRDefault="009266BF" w:rsidP="00F21283">
            <w:pPr>
              <w:rPr>
                <w:rFonts w:asciiTheme="minorHAnsi" w:hAnsiTheme="minorHAnsi" w:cstheme="minorHAnsi"/>
                <w:lang w:val="en-GB"/>
              </w:rPr>
            </w:pPr>
          </w:p>
          <w:p w14:paraId="22E462B5" w14:textId="77777777" w:rsidR="009266BF" w:rsidRPr="004E7D68" w:rsidRDefault="009266BF" w:rsidP="00F21283">
            <w:pPr>
              <w:rPr>
                <w:rFonts w:asciiTheme="minorHAnsi" w:hAnsiTheme="minorHAnsi" w:cstheme="minorHAnsi"/>
                <w:lang w:val="en-GB"/>
              </w:rPr>
            </w:pPr>
          </w:p>
          <w:p w14:paraId="25D7A670" w14:textId="77777777" w:rsidR="000C0C2F" w:rsidRPr="004E7D68" w:rsidRDefault="000C0C2F" w:rsidP="004A0BFF">
            <w:pPr>
              <w:jc w:val="both"/>
              <w:rPr>
                <w:rFonts w:asciiTheme="minorHAnsi" w:hAnsiTheme="minorHAnsi" w:cstheme="minorHAnsi"/>
                <w:b/>
                <w:bCs/>
                <w:lang w:val="en-US"/>
              </w:rPr>
            </w:pPr>
          </w:p>
          <w:p w14:paraId="1C0D738D" w14:textId="77777777" w:rsidR="000C0C2F" w:rsidRPr="004E7D68" w:rsidRDefault="000C0C2F" w:rsidP="004A0BFF">
            <w:pPr>
              <w:jc w:val="both"/>
              <w:rPr>
                <w:rFonts w:asciiTheme="minorHAnsi" w:hAnsiTheme="minorHAnsi" w:cstheme="minorHAnsi"/>
                <w:b/>
                <w:bCs/>
                <w:lang w:val="en-US"/>
              </w:rPr>
            </w:pPr>
          </w:p>
          <w:p w14:paraId="40739044" w14:textId="77777777" w:rsidR="000C0C2F" w:rsidRPr="004E7D68" w:rsidRDefault="000C0C2F" w:rsidP="004A0BFF">
            <w:pPr>
              <w:jc w:val="both"/>
              <w:rPr>
                <w:rFonts w:asciiTheme="minorHAnsi" w:hAnsiTheme="minorHAnsi" w:cstheme="minorHAnsi"/>
                <w:b/>
                <w:bCs/>
                <w:lang w:val="en-US"/>
              </w:rPr>
            </w:pPr>
          </w:p>
          <w:p w14:paraId="3778F5A8" w14:textId="77777777" w:rsidR="000C0C2F" w:rsidRPr="004E7D68" w:rsidRDefault="000C0C2F" w:rsidP="004A0BFF">
            <w:pPr>
              <w:jc w:val="both"/>
              <w:rPr>
                <w:rFonts w:asciiTheme="minorHAnsi" w:hAnsiTheme="minorHAnsi" w:cstheme="minorHAnsi"/>
                <w:b/>
                <w:bCs/>
                <w:lang w:val="en-US"/>
              </w:rPr>
            </w:pPr>
          </w:p>
          <w:p w14:paraId="7B3232FD" w14:textId="77777777" w:rsidR="004A0BFF" w:rsidRPr="004E7D68" w:rsidRDefault="004A0BFF" w:rsidP="004A0BFF">
            <w:pPr>
              <w:jc w:val="both"/>
              <w:rPr>
                <w:rFonts w:asciiTheme="minorHAnsi" w:hAnsiTheme="minorHAnsi" w:cstheme="minorHAnsi"/>
                <w:b/>
                <w:bCs/>
                <w:lang w:val="en-US"/>
              </w:rPr>
            </w:pPr>
          </w:p>
          <w:p w14:paraId="121594FA" w14:textId="77777777" w:rsidR="00E0382F" w:rsidRPr="004E7D68" w:rsidRDefault="00E0382F" w:rsidP="004A0BFF">
            <w:pPr>
              <w:jc w:val="both"/>
              <w:rPr>
                <w:rFonts w:asciiTheme="minorHAnsi" w:hAnsiTheme="minorHAnsi" w:cstheme="minorHAnsi"/>
                <w:lang w:val="en-US"/>
              </w:rPr>
            </w:pPr>
          </w:p>
          <w:p w14:paraId="4FDB06A0" w14:textId="77777777" w:rsidR="004A0BFF" w:rsidRPr="004E7D68" w:rsidRDefault="004A0BFF" w:rsidP="004A0BFF">
            <w:pPr>
              <w:jc w:val="both"/>
              <w:rPr>
                <w:rFonts w:asciiTheme="minorHAnsi" w:hAnsiTheme="minorHAnsi" w:cstheme="minorHAnsi"/>
                <w:lang w:val="en-US"/>
              </w:rPr>
            </w:pPr>
          </w:p>
          <w:p w14:paraId="209A111A" w14:textId="77777777" w:rsidR="004A0BFF" w:rsidRPr="004E7D68" w:rsidRDefault="004A0BFF" w:rsidP="004A0BFF">
            <w:pPr>
              <w:jc w:val="both"/>
              <w:rPr>
                <w:rFonts w:asciiTheme="minorHAnsi" w:hAnsiTheme="minorHAnsi" w:cstheme="minorHAnsi"/>
                <w:lang w:val="en-US"/>
              </w:rPr>
            </w:pPr>
          </w:p>
          <w:p w14:paraId="4876DF5D" w14:textId="77777777" w:rsidR="00282FB5" w:rsidRPr="004E7D68" w:rsidRDefault="00282FB5" w:rsidP="00F21283">
            <w:pPr>
              <w:rPr>
                <w:rFonts w:asciiTheme="minorHAnsi" w:hAnsiTheme="minorHAnsi" w:cstheme="minorHAnsi"/>
                <w:lang w:val="en-US"/>
              </w:rPr>
            </w:pPr>
          </w:p>
          <w:p w14:paraId="64356E73" w14:textId="77777777" w:rsidR="00832EBF" w:rsidRPr="004E7D68" w:rsidRDefault="00832EBF" w:rsidP="002A2C23">
            <w:pPr>
              <w:spacing w:after="120" w:line="360" w:lineRule="auto"/>
              <w:jc w:val="both"/>
              <w:rPr>
                <w:rFonts w:asciiTheme="minorHAnsi" w:eastAsia="Aptos" w:hAnsiTheme="minorHAnsi" w:cstheme="minorHAnsi"/>
                <w:b/>
                <w:bCs/>
                <w:lang w:val="en-US" w:eastAsia="en-US"/>
              </w:rPr>
            </w:pPr>
          </w:p>
          <w:p w14:paraId="19D3A4C3" w14:textId="485AF352" w:rsidR="002A2C23" w:rsidRPr="004E7D68" w:rsidRDefault="002A2C23" w:rsidP="002A2C23">
            <w:pPr>
              <w:spacing w:after="120" w:line="360" w:lineRule="auto"/>
              <w:jc w:val="both"/>
              <w:rPr>
                <w:rFonts w:asciiTheme="minorHAnsi" w:eastAsia="Aptos" w:hAnsiTheme="minorHAnsi" w:cstheme="minorHAnsi"/>
                <w:b/>
                <w:bCs/>
                <w:lang w:val="en-US" w:eastAsia="en-US"/>
              </w:rPr>
            </w:pPr>
            <w:r w:rsidRPr="004E7D68">
              <w:rPr>
                <w:rFonts w:asciiTheme="minorHAnsi" w:eastAsia="Aptos" w:hAnsiTheme="minorHAnsi" w:cstheme="minorHAnsi"/>
                <w:b/>
                <w:bCs/>
                <w:lang w:val="en-US" w:eastAsia="en-US"/>
              </w:rPr>
              <w:t>Introduction</w:t>
            </w:r>
          </w:p>
          <w:p w14:paraId="17C91C03" w14:textId="0CADBCB4"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The integration of digital technologies into the workplace has substantially altered the boundaries between employees’ professional activities and their private lives. In this context, an employer’s ability to monitor the use of a work computer raises critical issues of lawfulness from the perspective of personal data protection. In particular, questions arise regarding the scope of employees’ reasonable expectation of privacy in the workplace and the conditions under which the employer’s processing of their data may be considered lawful. Within this framework, legitimate concerns emerge that directly affect employees, such as whether the employer may monitor the use of a work computer, gain access to files stored on it, or even review their electronic communications in the course of performing their duties.</w:t>
            </w:r>
          </w:p>
          <w:p w14:paraId="5B25ADDC"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19445843"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b/>
                <w:bCs/>
                <w:lang w:val="en-US" w:eastAsia="en-US"/>
              </w:rPr>
              <w:t>The Protection of Employees’ Privacy within the Employment Context</w:t>
            </w:r>
          </w:p>
          <w:p w14:paraId="6DFACC84"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At the outset, it should be emphasised that the collection and processing of employees’ personal data, even where intended to ensure the proper functioning of the undertaking, to fulfil the purposes of the employment contract and the employment relationship itself, and to serve the employer’s freedom to conduct a business, cannot take place without oversight and limitations. Employees retain a legitimate and reasonable expectation of protection of their private life even while present in the workplace. This expectation cannot be diminished or restricted merely because the employee uses equipment, communication devices, or other professional facilities and infrastructure belonging to the employer.</w:t>
            </w:r>
          </w:p>
          <w:p w14:paraId="4984DD69"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In contemporary working conditions, the boundaries between professional and private life are becoming increasingly blurred. In particular, the possibility of remote work and the use of devices or technologies owned by the employee further erode these boundaries, while simultaneously increasing the flow of employees’ personal data to which employers or even third parties may have access. The European Court of Human Rights (ECtHR), in its interpretation of Article 8(1) of the European Convention on Human Rights (ECHR), has consistently held that the concept of “private life” should not be interpreted narrowly or </w:t>
            </w:r>
            <w:r w:rsidRPr="004E7D68">
              <w:rPr>
                <w:rFonts w:asciiTheme="minorHAnsi" w:eastAsia="Aptos" w:hAnsiTheme="minorHAnsi" w:cstheme="minorHAnsi"/>
                <w:lang w:val="en-US" w:eastAsia="en-US"/>
              </w:rPr>
              <w:lastRenderedPageBreak/>
              <w:t>restrictively</w:t>
            </w:r>
            <w:r w:rsidRPr="004E7D68">
              <w:rPr>
                <w:rFonts w:asciiTheme="minorHAnsi" w:eastAsia="Aptos" w:hAnsiTheme="minorHAnsi" w:cstheme="minorHAnsi"/>
                <w:vertAlign w:val="superscript"/>
                <w:lang w:val="en-US" w:eastAsia="en-US"/>
              </w:rPr>
              <w:footnoteReference w:id="2"/>
            </w:r>
            <w:r w:rsidRPr="004E7D68">
              <w:rPr>
                <w:rFonts w:asciiTheme="minorHAnsi" w:eastAsia="Aptos" w:hAnsiTheme="minorHAnsi" w:cstheme="minorHAnsi"/>
                <w:lang w:val="en-US" w:eastAsia="en-US"/>
              </w:rPr>
              <w:t>. More specifically, it has recognized that there is no justification for excluding professional activities from the scope of protection afforded to private life. Furthermore, in its relevant case law, the Court has interpreted the notion of “home” under Article 8 ECHR as also encompassing professional premises—that is, the workplace itself—irrespective of the ownership status of the premises or the legality of the activities carried out therein.</w:t>
            </w:r>
          </w:p>
          <w:p w14:paraId="092EEFEC" w14:textId="7060F501"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Accordingly, employees do not forfeit their right to the protection of their private life and personal data upon “entering” the workplace. On the contrary, they retain a reasonable expectation of a certain degree of privacy within the working environment, particularly given that a significant part of their social and interpersonal relationships develops there. It is important to underline, however, that although employees enjoy a legitimate and reasonable expectation of privacy even within the framework of their professional activities, this right must be balanced, on the one hand, against the employer’s right to protect the undertaking from actions by employees that may jeopardize its reputation and overall proper functioning and, on the other hand, against the purpose and function of the employment contract, which must be duly performed</w:t>
            </w:r>
            <w:r w:rsidR="00BD02BC">
              <w:rPr>
                <w:rFonts w:asciiTheme="minorHAnsi" w:eastAsia="Aptos" w:hAnsiTheme="minorHAnsi" w:cstheme="minorHAnsi"/>
                <w:lang w:val="en-US" w:eastAsia="en-US"/>
              </w:rPr>
              <w:t>.</w:t>
            </w:r>
          </w:p>
          <w:p w14:paraId="68B6DDFD" w14:textId="77777777" w:rsidR="002A2C23" w:rsidRPr="004E7D68" w:rsidRDefault="002A2C23" w:rsidP="002A2C23">
            <w:pPr>
              <w:spacing w:after="120" w:line="360" w:lineRule="auto"/>
              <w:jc w:val="both"/>
              <w:rPr>
                <w:rFonts w:asciiTheme="minorHAnsi" w:eastAsia="Aptos" w:hAnsiTheme="minorHAnsi" w:cstheme="minorHAnsi"/>
                <w:b/>
                <w:bCs/>
                <w:lang w:val="en-US" w:eastAsia="en-US"/>
              </w:rPr>
            </w:pPr>
          </w:p>
          <w:p w14:paraId="4A6F2806"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b/>
                <w:bCs/>
                <w:lang w:val="en-US" w:eastAsia="en-US"/>
              </w:rPr>
              <w:t>Monitoring and Access to the Computer Used by the Employee in the Performance of Their Duties</w:t>
            </w:r>
          </w:p>
          <w:p w14:paraId="0A353F46" w14:textId="77777777" w:rsidR="00D4295B"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The use of computers and internet access constitutes a fundamental and integral element of contemporary working life. However, it is frequently observed that employees also make use of internet access during working hours for personal purposes, such as browsing websites unrelated to their professional duties or storing personal files on the hard drive of a work-issued computer. The monitoring and recording of employees’ activity, as well as the employer’s access to personal data stored and maintained on the computer used by the </w:t>
            </w:r>
          </w:p>
          <w:p w14:paraId="6EF0384F" w14:textId="77777777" w:rsidR="00D4295B" w:rsidRPr="004E7D68" w:rsidRDefault="00D4295B" w:rsidP="002A2C23">
            <w:pPr>
              <w:spacing w:after="120" w:line="360" w:lineRule="auto"/>
              <w:jc w:val="both"/>
              <w:rPr>
                <w:rFonts w:asciiTheme="minorHAnsi" w:eastAsia="Aptos" w:hAnsiTheme="minorHAnsi" w:cstheme="minorHAnsi"/>
                <w:lang w:val="en-US" w:eastAsia="en-US"/>
              </w:rPr>
            </w:pPr>
          </w:p>
          <w:p w14:paraId="255F4459" w14:textId="10AD2550"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lastRenderedPageBreak/>
              <w:t xml:space="preserve">employee for the performance of their professional duties, constitute </w:t>
            </w:r>
            <w:r w:rsidRPr="004E7D68">
              <w:rPr>
                <w:rFonts w:asciiTheme="minorHAnsi" w:eastAsia="Aptos" w:hAnsiTheme="minorHAnsi" w:cstheme="minorHAnsi"/>
                <w:i/>
                <w:iCs/>
                <w:lang w:val="en-US" w:eastAsia="en-US"/>
              </w:rPr>
              <w:t>processing</w:t>
            </w:r>
            <w:r w:rsidRPr="004E7D68">
              <w:rPr>
                <w:rFonts w:asciiTheme="minorHAnsi" w:eastAsia="Aptos" w:hAnsiTheme="minorHAnsi" w:cstheme="minorHAnsi"/>
                <w:lang w:val="en-US" w:eastAsia="en-US"/>
              </w:rPr>
              <w:t xml:space="preserve"> within the meaning of the GDPR (Regulation (EU) 2016/679)</w:t>
            </w:r>
            <w:r w:rsidRPr="004E7D68">
              <w:rPr>
                <w:rFonts w:asciiTheme="minorHAnsi" w:eastAsia="Aptos" w:hAnsiTheme="minorHAnsi" w:cstheme="minorHAnsi"/>
                <w:vertAlign w:val="superscript"/>
                <w:lang w:val="en-US" w:eastAsia="en-US"/>
              </w:rPr>
              <w:footnoteReference w:id="3"/>
            </w:r>
            <w:r w:rsidRPr="004E7D68">
              <w:rPr>
                <w:rFonts w:asciiTheme="minorHAnsi" w:eastAsia="Aptos" w:hAnsiTheme="minorHAnsi" w:cstheme="minorHAnsi"/>
                <w:lang w:val="en-US" w:eastAsia="en-US"/>
              </w:rPr>
              <w:t>.</w:t>
            </w:r>
          </w:p>
          <w:p w14:paraId="52CDDFD3" w14:textId="57A36834"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Accordingly, for such processing of employees’ data by the employer to be considered lawful, the requirements set out in Articles 5 and 6 GDPR must be satisfied. In particular, monitoring and access to personal files stored on the devices used by employees in the provision of their services—activities which qualify as processing of personal data—must be based on one of the legal bases exhaustively provided for in Article 6 GDPR, and must cumulatively comply with the general principles governing lawful processing under Article 5 GDPR (namely, the principles of lawfulness, fairness and transparency; purpose limitation; data </w:t>
            </w:r>
            <w:r w:rsidR="00D4295B" w:rsidRPr="004E7D68">
              <w:rPr>
                <w:rFonts w:asciiTheme="minorHAnsi" w:eastAsia="Aptos" w:hAnsiTheme="minorHAnsi" w:cstheme="minorHAnsi"/>
                <w:lang w:val="en-US" w:eastAsia="en-US"/>
              </w:rPr>
              <w:t>minimization</w:t>
            </w:r>
            <w:r w:rsidRPr="004E7D68">
              <w:rPr>
                <w:rFonts w:asciiTheme="minorHAnsi" w:eastAsia="Aptos" w:hAnsiTheme="minorHAnsi" w:cstheme="minorHAnsi"/>
                <w:lang w:val="en-US" w:eastAsia="en-US"/>
              </w:rPr>
              <w:t>; proportionality and necessity; accuracy; and integrity and confidentiality).</w:t>
            </w:r>
          </w:p>
          <w:p w14:paraId="3F108528" w14:textId="0F5C995B"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Furthermore, pursuant to Article 13 GDPR, the employer, acting as data controller, is under </w:t>
            </w:r>
            <w:r w:rsidR="00D4295B" w:rsidRPr="004E7D68">
              <w:rPr>
                <w:rFonts w:asciiTheme="minorHAnsi" w:eastAsia="Aptos" w:hAnsiTheme="minorHAnsi" w:cstheme="minorHAnsi"/>
                <w:lang w:val="en-US" w:eastAsia="en-US"/>
              </w:rPr>
              <w:t>obligation</w:t>
            </w:r>
            <w:r w:rsidRPr="004E7D68">
              <w:rPr>
                <w:rFonts w:asciiTheme="minorHAnsi" w:eastAsia="Aptos" w:hAnsiTheme="minorHAnsi" w:cstheme="minorHAnsi"/>
                <w:lang w:val="en-US" w:eastAsia="en-US"/>
              </w:rPr>
              <w:t xml:space="preserve"> to provide employees with clear and comprehensive prior information regarding the introduction and use of monitoring and surveillance measures relating to their activities</w:t>
            </w:r>
            <w:r w:rsidRPr="004E7D68">
              <w:rPr>
                <w:rFonts w:asciiTheme="minorHAnsi" w:eastAsia="Aptos" w:hAnsiTheme="minorHAnsi" w:cstheme="minorHAnsi"/>
                <w:vertAlign w:val="superscript"/>
                <w:lang w:val="en-US" w:eastAsia="en-US"/>
              </w:rPr>
              <w:footnoteReference w:id="4"/>
            </w:r>
            <w:r w:rsidRPr="004E7D68">
              <w:rPr>
                <w:rFonts w:asciiTheme="minorHAnsi" w:eastAsia="Aptos" w:hAnsiTheme="minorHAnsi" w:cstheme="minorHAnsi"/>
                <w:lang w:val="en-US" w:eastAsia="en-US"/>
              </w:rPr>
              <w:t>. According to the Article 29 Working Party</w:t>
            </w:r>
            <w:r w:rsidRPr="004E7D68">
              <w:rPr>
                <w:rFonts w:asciiTheme="minorHAnsi" w:eastAsia="Aptos" w:hAnsiTheme="minorHAnsi" w:cstheme="minorHAnsi"/>
                <w:vertAlign w:val="superscript"/>
                <w:lang w:val="en-US" w:eastAsia="en-US"/>
              </w:rPr>
              <w:footnoteReference w:id="5"/>
            </w:r>
            <w:r w:rsidRPr="004E7D68">
              <w:rPr>
                <w:rFonts w:asciiTheme="minorHAnsi" w:eastAsia="Aptos" w:hAnsiTheme="minorHAnsi" w:cstheme="minorHAnsi"/>
                <w:lang w:val="en-US" w:eastAsia="en-US"/>
              </w:rPr>
              <w:t>, employees must be informed in advance about the monitoring of their work-related activities, the purposes of the processing of their data, and any other information necessary to ensure fair and lawful processing. In addition, employees should not only receive prior notification but should also be provided with an intelligible, clear and precise statement of the relevant monitoring policies and procedures.</w:t>
            </w:r>
          </w:p>
          <w:p w14:paraId="77D131C2"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It should also be noted that where monitoring of employees’ electronic activity is carried out through the use of artificial intelligence, for example, through AI applications intended to assess employee performance, the lawfulness of such processing must also be examined in light of the provisions of Regulation (EU) 2024/1689 (the AI Act).</w:t>
            </w:r>
          </w:p>
          <w:p w14:paraId="2F6EE4B3"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712B0C69" w14:textId="77777777" w:rsidR="00D4295B" w:rsidRPr="004E7D68" w:rsidRDefault="00D4295B" w:rsidP="002A2C23">
            <w:pPr>
              <w:spacing w:after="120" w:line="360" w:lineRule="auto"/>
              <w:jc w:val="both"/>
              <w:rPr>
                <w:rFonts w:asciiTheme="minorHAnsi" w:eastAsia="Aptos" w:hAnsiTheme="minorHAnsi" w:cstheme="minorHAnsi"/>
                <w:b/>
                <w:bCs/>
                <w:lang w:val="en-US" w:eastAsia="en-US"/>
              </w:rPr>
            </w:pPr>
          </w:p>
          <w:p w14:paraId="4C487F5E" w14:textId="4F1AE014"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b/>
                <w:bCs/>
                <w:lang w:val="en-US" w:eastAsia="en-US"/>
              </w:rPr>
              <w:t>The Pursuit of the Employer’s Legitimate Interests as a Legal Basis</w:t>
            </w:r>
          </w:p>
          <w:p w14:paraId="144B18E9"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One of the principal legal bases that may justify the monitoring of employees’ activities (including the monitoring of electronic communications) and the employer’s access to data stored on the computer used by employees in the performance of their duties is Article 6(1)(f) GDPR, namely where such access is considered necessary for the purposes of the legitimate interests pursued by the employer. However, it is not sufficient that the employer merely seeks to rely on the pursuit of a legitimate interest through access to the employee’s computer. Rather, that interest must clearly prevail over the rights and interests of the employee, without undermining their fundamental rights and freedoms.</w:t>
            </w:r>
          </w:p>
          <w:p w14:paraId="20075B5E"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The legitimate interest pursued by the employer may also relate to the exercise of managerial authority, from which derive employees’ ancillary duties of loyalty</w:t>
            </w:r>
            <w:r w:rsidRPr="004E7D68">
              <w:rPr>
                <w:rFonts w:asciiTheme="minorHAnsi" w:eastAsia="Aptos" w:hAnsiTheme="minorHAnsi" w:cstheme="minorHAnsi"/>
                <w:vertAlign w:val="superscript"/>
                <w:lang w:val="en-US" w:eastAsia="en-US"/>
              </w:rPr>
              <w:footnoteReference w:id="6"/>
            </w:r>
            <w:r w:rsidRPr="004E7D68">
              <w:rPr>
                <w:rFonts w:asciiTheme="minorHAnsi" w:eastAsia="Aptos" w:hAnsiTheme="minorHAnsi" w:cstheme="minorHAnsi"/>
                <w:lang w:val="en-US" w:eastAsia="en-US"/>
              </w:rPr>
              <w:t>. These duties include, inter alia, obligations to provide relevant information to the employer and to prevent the leakage of technical expertise, confidential information, or commercial and business secrets. In this context, such legitimate interests may include ensuring the proper functioning of the undertaking through the establishment of employee monitoring mechanisms, as well as the employer’s need to protect the company and its assets from significant risks or the disclosure of confidential industrial information or know-how</w:t>
            </w:r>
            <w:r w:rsidRPr="004E7D68">
              <w:rPr>
                <w:rFonts w:asciiTheme="minorHAnsi" w:eastAsia="Aptos" w:hAnsiTheme="minorHAnsi" w:cstheme="minorHAnsi"/>
                <w:vertAlign w:val="superscript"/>
                <w:lang w:val="en-US" w:eastAsia="en-US"/>
              </w:rPr>
              <w:footnoteReference w:id="7"/>
            </w:r>
            <w:r w:rsidRPr="004E7D68">
              <w:rPr>
                <w:rFonts w:asciiTheme="minorHAnsi" w:eastAsia="Aptos" w:hAnsiTheme="minorHAnsi" w:cstheme="minorHAnsi"/>
                <w:lang w:val="en-US" w:eastAsia="en-US"/>
              </w:rPr>
              <w:t>.</w:t>
            </w:r>
          </w:p>
          <w:p w14:paraId="5548EBE1"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For the interpretation and application of Article 6(1)(f) GDPR (legitimate interests), the European Data Protection Board (EDPB) has issued Guidelines 01/2024</w:t>
            </w:r>
            <w:r w:rsidRPr="004E7D68">
              <w:rPr>
                <w:rFonts w:asciiTheme="minorHAnsi" w:eastAsia="Aptos" w:hAnsiTheme="minorHAnsi" w:cstheme="minorHAnsi"/>
                <w:vertAlign w:val="superscript"/>
                <w:lang w:val="en-US" w:eastAsia="en-US"/>
              </w:rPr>
              <w:footnoteReference w:id="8"/>
            </w:r>
            <w:r w:rsidRPr="004E7D68">
              <w:rPr>
                <w:rFonts w:asciiTheme="minorHAnsi" w:eastAsia="Aptos" w:hAnsiTheme="minorHAnsi" w:cstheme="minorHAnsi"/>
                <w:lang w:val="en-US" w:eastAsia="en-US"/>
              </w:rPr>
              <w:t>, according to which reliance on this legal basis requires, first, the existence of a legitimate interest, second, the necessity of the processing in relation to the pursued interest, and third, the balancing of that interest against the rights, freedoms, and interests of the data subject. This assessment once again reflects the application of the principles of proportionality and necessity.</w:t>
            </w:r>
          </w:p>
          <w:p w14:paraId="698E028F"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1832B664" w14:textId="77777777" w:rsidR="00D4295B" w:rsidRPr="004E7D68" w:rsidRDefault="00D4295B" w:rsidP="002A2C23">
            <w:pPr>
              <w:spacing w:after="120" w:line="360" w:lineRule="auto"/>
              <w:jc w:val="both"/>
              <w:rPr>
                <w:rFonts w:asciiTheme="minorHAnsi" w:eastAsia="Aptos" w:hAnsiTheme="minorHAnsi" w:cstheme="minorHAnsi"/>
                <w:b/>
                <w:bCs/>
                <w:lang w:val="en-US" w:eastAsia="en-US"/>
              </w:rPr>
            </w:pPr>
          </w:p>
          <w:p w14:paraId="08051067" w14:textId="4BB09A81" w:rsidR="002A2C23" w:rsidRPr="004E7D68" w:rsidRDefault="002A2C23" w:rsidP="002A2C23">
            <w:pPr>
              <w:spacing w:after="120" w:line="360" w:lineRule="auto"/>
              <w:jc w:val="both"/>
              <w:rPr>
                <w:rFonts w:asciiTheme="minorHAnsi" w:eastAsia="Aptos" w:hAnsiTheme="minorHAnsi" w:cstheme="minorHAnsi"/>
                <w:b/>
                <w:bCs/>
                <w:lang w:val="en-US" w:eastAsia="en-US"/>
              </w:rPr>
            </w:pPr>
            <w:r w:rsidRPr="004E7D68">
              <w:rPr>
                <w:rFonts w:asciiTheme="minorHAnsi" w:eastAsia="Aptos" w:hAnsiTheme="minorHAnsi" w:cstheme="minorHAnsi"/>
                <w:b/>
                <w:bCs/>
                <w:lang w:val="en-US" w:eastAsia="en-US"/>
              </w:rPr>
              <w:t>The Problematic Nature of Employee Consent</w:t>
            </w:r>
          </w:p>
          <w:p w14:paraId="4552FAD6"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Particular attention arises as to whether an employer may process employees’ personal data through the aforementioned monitoring measures where the employer has previously obtained the employee’s consent. In other words, the question that emerges is whether the employee’s consent itself may serve as the lawful basis for such processing. In order to address this question, it should be recalled that one of the defining elements of valid consent under the GDPR is that consent must be freely given. The requirement that consent be “freely given” emphasises that data subjects must enjoy a genuine choice and retain control over their decision</w:t>
            </w:r>
            <w:r w:rsidRPr="004E7D68">
              <w:rPr>
                <w:rFonts w:asciiTheme="minorHAnsi" w:eastAsia="Aptos" w:hAnsiTheme="minorHAnsi" w:cstheme="minorHAnsi"/>
                <w:vertAlign w:val="superscript"/>
                <w:lang w:val="en-US" w:eastAsia="en-US"/>
              </w:rPr>
              <w:footnoteReference w:id="9"/>
            </w:r>
            <w:r w:rsidRPr="004E7D68">
              <w:rPr>
                <w:rFonts w:asciiTheme="minorHAnsi" w:eastAsia="Aptos" w:hAnsiTheme="minorHAnsi" w:cstheme="minorHAnsi"/>
                <w:lang w:val="en-US" w:eastAsia="en-US"/>
              </w:rPr>
              <w:t>.</w:t>
            </w:r>
          </w:p>
          <w:p w14:paraId="1B6DBF28"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Consent is considered freely given only where the data subject has a real possibility of choice and is not exposed to any risk of deception, intimidation, coercion, or significant adverse consequences in the event that they refuse to provide it. Where the data subject lacks a genuine opportunity to refuse, feels compelled to consent, or fears negative consequences if consent is withheld, consent cannot be regarded as freely given and is therefore invalid</w:t>
            </w:r>
            <w:r w:rsidRPr="004E7D68">
              <w:rPr>
                <w:rFonts w:asciiTheme="minorHAnsi" w:eastAsia="Aptos" w:hAnsiTheme="minorHAnsi" w:cstheme="minorHAnsi"/>
                <w:vertAlign w:val="superscript"/>
                <w:lang w:val="en-US" w:eastAsia="en-US"/>
              </w:rPr>
              <w:footnoteReference w:id="10"/>
            </w:r>
            <w:r w:rsidRPr="004E7D68">
              <w:rPr>
                <w:rFonts w:asciiTheme="minorHAnsi" w:eastAsia="Aptos" w:hAnsiTheme="minorHAnsi" w:cstheme="minorHAnsi"/>
                <w:lang w:val="en-US" w:eastAsia="en-US"/>
              </w:rPr>
              <w:t>.</w:t>
            </w:r>
          </w:p>
          <w:p w14:paraId="29C8F40A" w14:textId="77777777" w:rsidR="00D4295B"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Taking Recital 43 GDPR as a starting point, it becomes possible to identify the conditions under which consent may be considered genuinely free. That recital highlights that consent cannot be regarded as freely given where there is a clear imbalance of power between the controller and the data subject. A characteristic example of such imbalance is the employment relationship itself, where the employee’s dependence on the employer may affect the exercise of their free will. Indeed, this concern regarding inequality between the parties and asymmetry in bargaining power reflects a well-established position in both national case law and the case law of the Court of Justice of the European Union, particularly in the field of consumer protection law.</w:t>
            </w:r>
          </w:p>
          <w:p w14:paraId="4709A18B" w14:textId="77777777" w:rsidR="00D4295B" w:rsidRPr="004E7D68" w:rsidRDefault="00D4295B" w:rsidP="002A2C23">
            <w:pPr>
              <w:spacing w:after="120" w:line="360" w:lineRule="auto"/>
              <w:jc w:val="both"/>
              <w:rPr>
                <w:rFonts w:asciiTheme="minorHAnsi" w:eastAsia="Aptos" w:hAnsiTheme="minorHAnsi" w:cstheme="minorHAnsi"/>
                <w:lang w:val="en-US" w:eastAsia="en-US"/>
              </w:rPr>
            </w:pPr>
          </w:p>
          <w:p w14:paraId="4AE71791" w14:textId="77FDCF41"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lastRenderedPageBreak/>
              <w:t xml:space="preserve">The imbalance of power in the workplace renders the processing of employees’ personal data a particularly sensitive issue. Taking into account the dependency inherent in the employer–employee relationship, it is unlikely that employees are </w:t>
            </w:r>
            <w:r w:rsidR="00D4295B" w:rsidRPr="004E7D68">
              <w:rPr>
                <w:rFonts w:asciiTheme="minorHAnsi" w:eastAsia="Aptos" w:hAnsiTheme="minorHAnsi" w:cstheme="minorHAnsi"/>
                <w:lang w:val="en-US" w:eastAsia="en-US"/>
              </w:rPr>
              <w:t>able</w:t>
            </w:r>
            <w:r w:rsidRPr="004E7D68">
              <w:rPr>
                <w:rFonts w:asciiTheme="minorHAnsi" w:eastAsia="Aptos" w:hAnsiTheme="minorHAnsi" w:cstheme="minorHAnsi"/>
                <w:lang w:val="en-US" w:eastAsia="en-US"/>
              </w:rPr>
              <w:t xml:space="preserve"> to refuse consent to the processing of their personal data without fearing—or running a genuine risk of—adverse consequences. In this sense, it is difficult for employees to respond freely to requests for consent made by their employer. For this reason, the European Data Protection Board (EDPB) considers the processing of personal data of current or prospective employees on the basis of consent to be problematic, since such consent is unlikely to be freely given.</w:t>
            </w:r>
          </w:p>
          <w:p w14:paraId="2C84B318" w14:textId="2FAEAA86"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This does not, however, mean that reliance on consent is prohibited in all circumstances. There may be situations in which the employer is able to demonstrate that the employee’s consent has indeed been freely given. In practice, however, employers have tended to rely on employee consent cumulatively alongside other legal bases as a safeguard and as an additional means of reinforcing the lawfulness of the processing of personal data. Nevertheless, as already noted, employee consent cannot, as a general rule, constitute an appropriate and sufficient legal basis on its own, due to the inherent imbalance </w:t>
            </w:r>
            <w:r w:rsidR="001D7B2D" w:rsidRPr="004E7D68">
              <w:rPr>
                <w:rFonts w:asciiTheme="minorHAnsi" w:eastAsia="Aptos" w:hAnsiTheme="minorHAnsi" w:cstheme="minorHAnsi"/>
                <w:lang w:val="en-US" w:eastAsia="en-US"/>
              </w:rPr>
              <w:t>characterizing</w:t>
            </w:r>
            <w:r w:rsidRPr="004E7D68">
              <w:rPr>
                <w:rFonts w:asciiTheme="minorHAnsi" w:eastAsia="Aptos" w:hAnsiTheme="minorHAnsi" w:cstheme="minorHAnsi"/>
                <w:lang w:val="en-US" w:eastAsia="en-US"/>
              </w:rPr>
              <w:t xml:space="preserve"> the employer–employee relationship.</w:t>
            </w:r>
          </w:p>
          <w:p w14:paraId="333D96A2"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79D760FA"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b/>
                <w:bCs/>
                <w:lang w:val="en-US" w:eastAsia="en-US"/>
              </w:rPr>
              <w:t>Special Categories of Personal Data</w:t>
            </w:r>
          </w:p>
          <w:p w14:paraId="56B05F0A"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At the outset, it should be noted that the Regulation uses the term “special categories of personal data” (Article 9 GDPR), rather than the term “sensitive data,” which had been commonly used under the previous legal framework. Moreover, the Regulation itself does not introduce an explicit formal distinction between “ordinary” and “sensitive” data; rather, this distinction is primarily a product of legal scholarship, intended to facilitate the systematization and clearer understanding of the scope and level of protection afforded to personal data.</w:t>
            </w:r>
          </w:p>
          <w:p w14:paraId="473AE52A"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 xml:space="preserve">The processing of special categories of personal data (Article 9 GDPR) within the context of the employment relationship between employer and employee is permitted only under strict conditions and for specific, lawful purposes. The employer is required to comply with the aforementioned fundamental principles of necessity, proportionality, and data </w:t>
            </w:r>
            <w:r w:rsidRPr="004E7D68">
              <w:rPr>
                <w:rFonts w:asciiTheme="minorHAnsi" w:eastAsia="Aptos" w:hAnsiTheme="minorHAnsi" w:cstheme="minorHAnsi"/>
                <w:lang w:val="en-US" w:eastAsia="en-US"/>
              </w:rPr>
              <w:lastRenderedPageBreak/>
              <w:t>minimization, while ensuring the confidentiality and security of such data. Particular caution is required with regard to data relating to health, political or religious beliefs, racial or ethnic origin, political opinions, trade union membership, genetic or biometric data, as well as data concerning a person’s sex life or sexual orientation, as their processing is permitted only in exceptional circumstances provided for by law.</w:t>
            </w:r>
          </w:p>
          <w:p w14:paraId="0AFFF833" w14:textId="2177E331"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The collection of special categories of personal data by the employer does not constitute the rule but rather the exception and is permitted only where it is strictly necessary or directly related to the nature of the work performed. An employer may process such data where required for the purposes of occupational health and safety, where mandated by labour or social security legislation, or where necessary for the performance of the employment contract itself, such as, for example, in the case of healthcare professionals (e.g. physicians and nurses), or employees working as drivers or machine operators, where their physical and mental fitness must be assessed.</w:t>
            </w:r>
          </w:p>
          <w:p w14:paraId="13386F1F"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18E1697D" w14:textId="77777777" w:rsidR="002A2C23" w:rsidRPr="004E7D68" w:rsidRDefault="002A2C23" w:rsidP="002A2C23">
            <w:pPr>
              <w:spacing w:after="120" w:line="360" w:lineRule="auto"/>
              <w:jc w:val="both"/>
              <w:rPr>
                <w:rFonts w:asciiTheme="minorHAnsi" w:eastAsia="Aptos" w:hAnsiTheme="minorHAnsi" w:cstheme="minorHAnsi"/>
                <w:b/>
                <w:bCs/>
                <w:lang w:val="en-US" w:eastAsia="en-US"/>
              </w:rPr>
            </w:pPr>
            <w:r w:rsidRPr="004E7D68">
              <w:rPr>
                <w:rFonts w:asciiTheme="minorHAnsi" w:eastAsia="Aptos" w:hAnsiTheme="minorHAnsi" w:cstheme="minorHAnsi"/>
                <w:b/>
                <w:bCs/>
                <w:lang w:val="en-US" w:eastAsia="en-US"/>
              </w:rPr>
              <w:t xml:space="preserve">Key Takeaways for Employers </w:t>
            </w:r>
          </w:p>
          <w:p w14:paraId="1A98934A"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From the foregoing, it becomes clear that answering the common questions regarding whether an employer is entitled to monitor the computer used by an employee, as well as the employee’s electronic communications, is not straightforward and cannot be addressed without first considering certain critical parameters. As discussed above, such actions constitute the processing of personal data, and consequently, their lawfulness must be assessed under the provisions of the GDPR.</w:t>
            </w:r>
          </w:p>
          <w:p w14:paraId="6A573E2B" w14:textId="77777777"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Based on the above analysis, the conclusion that can be drawn is that, in principle, monitoring is prohibited. However, it may be permitted exceptionally where a lawful basis for processing exists beforehand—such as the pursuit of the employer’s legitimate interests—provided that such interests clearly outweigh the rights of employees, that the principles of lawfulness, fairness, transparency, purpose limitation, data minimization, proportionality, necessity, accuracy, and confidentiality set out in Article 5 GDPR are cumulatively respected, and that the employee has been given clear, specific, and comprehensive prior information.</w:t>
            </w:r>
          </w:p>
          <w:p w14:paraId="0F47FB93" w14:textId="77777777" w:rsidR="001D7B2D" w:rsidRPr="004E7D68" w:rsidRDefault="001D7B2D" w:rsidP="002A2C23">
            <w:pPr>
              <w:spacing w:after="120" w:line="360" w:lineRule="auto"/>
              <w:jc w:val="both"/>
              <w:rPr>
                <w:rFonts w:asciiTheme="minorHAnsi" w:eastAsia="Aptos" w:hAnsiTheme="minorHAnsi" w:cstheme="minorHAnsi"/>
                <w:lang w:val="en-US" w:eastAsia="en-US"/>
              </w:rPr>
            </w:pPr>
          </w:p>
          <w:p w14:paraId="2FF8F1FB" w14:textId="5AD09744" w:rsidR="002A2C23" w:rsidRPr="004E7D68" w:rsidRDefault="002A2C23" w:rsidP="002A2C23">
            <w:pPr>
              <w:spacing w:after="120" w:line="360" w:lineRule="auto"/>
              <w:jc w:val="both"/>
              <w:rPr>
                <w:rFonts w:asciiTheme="minorHAnsi" w:eastAsia="Aptos" w:hAnsiTheme="minorHAnsi" w:cstheme="minorHAnsi"/>
                <w:lang w:val="en-US" w:eastAsia="en-US"/>
              </w:rPr>
            </w:pPr>
            <w:r w:rsidRPr="004E7D68">
              <w:rPr>
                <w:rFonts w:asciiTheme="minorHAnsi" w:eastAsia="Aptos" w:hAnsiTheme="minorHAnsi" w:cstheme="minorHAnsi"/>
                <w:lang w:val="en-US" w:eastAsia="en-US"/>
              </w:rPr>
              <w:t>Within the scope of the employer’s obligation to inform employees, and to avoid misunderstandings or misinterpretations, it should be clarified that merely notifying employees that the use of the computer is permitted exclusively for professional purposes, and not for personal use, does not suffice to legitimize monitoring or access to the data stored therein. This highlights the employer’s particular obligation, as derived from Articles 24(1) and 24(2) GDPR in conjunction with Recital 78 GDPR, to maintain up-to-date internal policies and regulations regarding the proper use and functioning of IT and communication equipment and networks, and to ensure these are effectively communicated to employees.</w:t>
            </w:r>
          </w:p>
          <w:p w14:paraId="6D4F7AFA" w14:textId="77777777" w:rsidR="002A2C23" w:rsidRPr="004E7D68" w:rsidRDefault="002A2C23" w:rsidP="002A2C23">
            <w:pPr>
              <w:spacing w:after="120" w:line="360" w:lineRule="auto"/>
              <w:jc w:val="both"/>
              <w:rPr>
                <w:rFonts w:asciiTheme="minorHAnsi" w:eastAsia="Aptos" w:hAnsiTheme="minorHAnsi" w:cstheme="minorHAnsi"/>
                <w:lang w:val="en-US" w:eastAsia="en-US"/>
              </w:rPr>
            </w:pPr>
          </w:p>
          <w:p w14:paraId="6E369040" w14:textId="77777777" w:rsidR="00A33B72" w:rsidRPr="004E7D68" w:rsidRDefault="00A33B72" w:rsidP="00A33B72">
            <w:pPr>
              <w:jc w:val="both"/>
              <w:rPr>
                <w:rFonts w:asciiTheme="minorHAnsi" w:hAnsiTheme="minorHAnsi" w:cstheme="minorHAnsi"/>
                <w:color w:val="000000"/>
                <w:kern w:val="0"/>
                <w:lang w:val="en-US" w:eastAsia="en-US"/>
                <w14:ligatures w14:val="none"/>
              </w:rPr>
            </w:pPr>
          </w:p>
          <w:p w14:paraId="751B79E6" w14:textId="77777777" w:rsidR="00282FB5" w:rsidRPr="004E7D68" w:rsidRDefault="00282FB5" w:rsidP="00A33B72">
            <w:pPr>
              <w:jc w:val="both"/>
              <w:rPr>
                <w:rFonts w:asciiTheme="minorHAnsi" w:hAnsiTheme="minorHAnsi" w:cstheme="minorHAnsi"/>
                <w:lang w:val="en-US"/>
              </w:rPr>
            </w:pPr>
          </w:p>
          <w:p w14:paraId="42F094D1" w14:textId="1B44A697" w:rsidR="00282FB5" w:rsidRPr="004E7D68" w:rsidRDefault="00282FB5" w:rsidP="00F21283">
            <w:pPr>
              <w:rPr>
                <w:rFonts w:asciiTheme="minorHAnsi" w:hAnsiTheme="minorHAnsi" w:cstheme="minorHAnsi"/>
                <w:lang w:val="en-GB"/>
              </w:rPr>
            </w:pPr>
          </w:p>
        </w:tc>
        <w:tc>
          <w:tcPr>
            <w:tcW w:w="4158" w:type="dxa"/>
            <w:vMerge/>
          </w:tcPr>
          <w:p w14:paraId="2289E3D1" w14:textId="77777777" w:rsidR="00F21283" w:rsidRPr="004E7D68" w:rsidRDefault="00F21283" w:rsidP="00F21283">
            <w:pPr>
              <w:rPr>
                <w:rFonts w:asciiTheme="minorHAnsi" w:hAnsiTheme="minorHAnsi" w:cstheme="minorHAnsi"/>
                <w:lang w:val="en-US"/>
              </w:rPr>
            </w:pPr>
          </w:p>
        </w:tc>
      </w:tr>
    </w:tbl>
    <w:p w14:paraId="658BDD3A" w14:textId="77777777" w:rsidR="001D55D1" w:rsidRPr="004E7D68" w:rsidRDefault="001D55D1" w:rsidP="00FB4617">
      <w:pPr>
        <w:pStyle w:val="Footer"/>
        <w:spacing w:line="360" w:lineRule="auto"/>
        <w:rPr>
          <w:rFonts w:asciiTheme="minorHAnsi" w:hAnsiTheme="minorHAnsi" w:cstheme="minorHAnsi"/>
          <w:lang w:val="en-US"/>
        </w:rPr>
      </w:pPr>
      <w:bookmarkStart w:id="0" w:name="str_179"/>
      <w:bookmarkStart w:id="1" w:name="str_181"/>
      <w:bookmarkStart w:id="2" w:name="str_182"/>
      <w:bookmarkStart w:id="3" w:name="str_183"/>
      <w:bookmarkEnd w:id="0"/>
      <w:bookmarkEnd w:id="1"/>
      <w:bookmarkEnd w:id="2"/>
      <w:bookmarkEnd w:id="3"/>
    </w:p>
    <w:p w14:paraId="09328CE0" w14:textId="77777777" w:rsidR="001D55D1" w:rsidRPr="004E7D68" w:rsidRDefault="001D55D1" w:rsidP="00433631">
      <w:pPr>
        <w:pStyle w:val="Footer"/>
        <w:spacing w:line="360" w:lineRule="auto"/>
        <w:jc w:val="center"/>
        <w:rPr>
          <w:rFonts w:asciiTheme="minorHAnsi" w:hAnsiTheme="minorHAnsi" w:cstheme="minorHAnsi"/>
          <w:lang w:val="en-US"/>
        </w:rPr>
      </w:pPr>
    </w:p>
    <w:p w14:paraId="55C44C84" w14:textId="77777777" w:rsidR="001D55D1" w:rsidRPr="002A2C23" w:rsidRDefault="001D55D1" w:rsidP="00433631">
      <w:pPr>
        <w:pStyle w:val="Footer"/>
        <w:spacing w:line="360" w:lineRule="auto"/>
        <w:jc w:val="center"/>
        <w:rPr>
          <w:rFonts w:asciiTheme="minorHAnsi" w:hAnsiTheme="minorHAnsi" w:cstheme="minorHAnsi"/>
          <w:lang w:val="en-US"/>
        </w:rPr>
      </w:pPr>
    </w:p>
    <w:p w14:paraId="70C2C6D7" w14:textId="735317C8" w:rsidR="008D1745" w:rsidRPr="000C3560" w:rsidRDefault="008D1745" w:rsidP="00433631">
      <w:pPr>
        <w:pStyle w:val="Footer"/>
        <w:spacing w:line="360" w:lineRule="auto"/>
        <w:jc w:val="center"/>
        <w:rPr>
          <w:rFonts w:ascii="Arial Nova" w:hAnsi="Arial Nova"/>
          <w:lang w:val="en-US"/>
        </w:rPr>
      </w:pPr>
      <w:hyperlink r:id="rId14" w:history="1">
        <w:r w:rsidRPr="000C3560">
          <w:rPr>
            <w:rStyle w:val="Hyperlink"/>
            <w:rFonts w:ascii="Arial Nova" w:hAnsi="Arial Nova"/>
            <w:lang w:val="en-US"/>
          </w:rPr>
          <w:t>Follow us on LinkedIn</w:t>
        </w:r>
      </w:hyperlink>
    </w:p>
    <w:p w14:paraId="7B531BF7" w14:textId="77777777" w:rsidR="008D1745" w:rsidRPr="000C3560" w:rsidRDefault="008D1745" w:rsidP="008D1745">
      <w:pPr>
        <w:pStyle w:val="Footer"/>
        <w:spacing w:line="360" w:lineRule="auto"/>
        <w:rPr>
          <w:rFonts w:ascii="Arial Nova" w:hAnsi="Arial Nova"/>
          <w:lang w:val="en-US"/>
        </w:rPr>
      </w:pPr>
      <w:r w:rsidRPr="000C3560">
        <w:rPr>
          <w:rFonts w:ascii="Arial Nova" w:hAnsi="Arial Nova"/>
          <w:noProof/>
        </w:rPr>
        <w:drawing>
          <wp:anchor distT="0" distB="0" distL="114300" distR="114300" simplePos="0" relativeHeight="251658241" behindDoc="0" locked="0" layoutInCell="1" allowOverlap="1" wp14:anchorId="3B64BEF0" wp14:editId="22FDC0ED">
            <wp:simplePos x="0" y="0"/>
            <wp:positionH relativeFrom="column">
              <wp:posOffset>2007235</wp:posOffset>
            </wp:positionH>
            <wp:positionV relativeFrom="paragraph">
              <wp:posOffset>148590</wp:posOffset>
            </wp:positionV>
            <wp:extent cx="1457325" cy="355600"/>
            <wp:effectExtent l="0" t="0" r="0" b="6350"/>
            <wp:wrapSquare wrapText="bothSides"/>
            <wp:docPr id="1169568752" name="Picture 116956875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82438" name="Picture 670282438">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7325" cy="355600"/>
                    </a:xfrm>
                    <a:prstGeom prst="rect">
                      <a:avLst/>
                    </a:prstGeom>
                    <a:noFill/>
                    <a:ln>
                      <a:noFill/>
                    </a:ln>
                  </pic:spPr>
                </pic:pic>
              </a:graphicData>
            </a:graphic>
          </wp:anchor>
        </w:drawing>
      </w:r>
    </w:p>
    <w:p w14:paraId="71F821D5" w14:textId="77777777" w:rsidR="00691644" w:rsidRPr="00D5117F" w:rsidRDefault="00691644">
      <w:pPr>
        <w:rPr>
          <w:rFonts w:asciiTheme="minorHAnsi" w:hAnsiTheme="minorHAnsi" w:cstheme="minorHAnsi"/>
          <w:lang w:val="en-US"/>
        </w:rPr>
      </w:pPr>
    </w:p>
    <w:sectPr w:rsidR="00691644" w:rsidRPr="00D5117F" w:rsidSect="00BD41B9">
      <w:headerReference w:type="default" r:id="rId16"/>
      <w:footerReference w:type="default" r:id="rId17"/>
      <w:pgSz w:w="11906" w:h="16838"/>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44D0F" w14:textId="77777777" w:rsidR="00A25703" w:rsidRDefault="00A25703" w:rsidP="00BD41B9">
      <w:r>
        <w:separator/>
      </w:r>
    </w:p>
  </w:endnote>
  <w:endnote w:type="continuationSeparator" w:id="0">
    <w:p w14:paraId="2895DC33" w14:textId="77777777" w:rsidR="00A25703" w:rsidRDefault="00A25703" w:rsidP="00BD41B9">
      <w:r>
        <w:continuationSeparator/>
      </w:r>
    </w:p>
  </w:endnote>
  <w:endnote w:type="continuationNotice" w:id="1">
    <w:p w14:paraId="1EE985C2" w14:textId="77777777" w:rsidR="00A25703" w:rsidRDefault="00A257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17672" w14:textId="332D0478" w:rsidR="00646ADE" w:rsidRDefault="00646ADE" w:rsidP="00646ADE">
    <w:pPr>
      <w:pStyle w:val="Footer"/>
      <w:jc w:val="center"/>
      <w:rPr>
        <w:lang w:val="en-US"/>
      </w:rPr>
    </w:pPr>
    <w:hyperlink r:id="rId1" w:history="1">
      <w:r w:rsidRPr="00D05350">
        <w:rPr>
          <w:rStyle w:val="Hyperlink"/>
          <w:lang w:val="en-US"/>
        </w:rPr>
        <w:t>www.rokas.com</w:t>
      </w:r>
    </w:hyperlink>
  </w:p>
  <w:p w14:paraId="1D5EC3A7" w14:textId="77777777" w:rsidR="00646ADE" w:rsidRPr="00646ADE" w:rsidRDefault="00646ADE">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0F748" w14:textId="77777777" w:rsidR="00A25703" w:rsidRDefault="00A25703" w:rsidP="00BD41B9">
      <w:r>
        <w:separator/>
      </w:r>
    </w:p>
  </w:footnote>
  <w:footnote w:type="continuationSeparator" w:id="0">
    <w:p w14:paraId="04E24D77" w14:textId="77777777" w:rsidR="00A25703" w:rsidRDefault="00A25703" w:rsidP="00BD41B9">
      <w:r>
        <w:continuationSeparator/>
      </w:r>
    </w:p>
  </w:footnote>
  <w:footnote w:type="continuationNotice" w:id="1">
    <w:p w14:paraId="5741E215" w14:textId="77777777" w:rsidR="00A25703" w:rsidRDefault="00A25703"/>
  </w:footnote>
  <w:footnote w:id="2">
    <w:p w14:paraId="1D2DC80D" w14:textId="77777777" w:rsidR="002A2C23" w:rsidRPr="00D24411" w:rsidRDefault="002A2C23" w:rsidP="002A2C23">
      <w:pPr>
        <w:pStyle w:val="FootnoteText"/>
      </w:pPr>
      <w:r>
        <w:rPr>
          <w:rStyle w:val="FootnoteReference"/>
        </w:rPr>
        <w:footnoteRef/>
      </w:r>
      <w:r>
        <w:t xml:space="preserve"> BĂRBULESCU v. ROMANIA (Application no. 61496/08) </w:t>
      </w:r>
      <w:hyperlink r:id="rId1" w:anchor="{%22itemid%22:[%22001-177082%22]}" w:history="1">
        <w:r w:rsidRPr="003A46E7">
          <w:rPr>
            <w:rStyle w:val="Hyperlink"/>
          </w:rPr>
          <w:t>https://hudoc.echr.coe.int/fre#{%22itemid%22:[%22001-177082%22]}</w:t>
        </w:r>
      </w:hyperlink>
      <w:r w:rsidRPr="00D24411">
        <w:t xml:space="preserve"> </w:t>
      </w:r>
    </w:p>
    <w:p w14:paraId="00605EB0" w14:textId="77777777" w:rsidR="002A2C23" w:rsidRDefault="002A2C23" w:rsidP="002A2C23">
      <w:pPr>
        <w:pStyle w:val="FootnoteText"/>
      </w:pPr>
    </w:p>
    <w:p w14:paraId="0C1D2FC0" w14:textId="77777777" w:rsidR="002A2C23" w:rsidRDefault="002A2C23" w:rsidP="002A2C23">
      <w:pPr>
        <w:pStyle w:val="FootnoteText"/>
      </w:pPr>
    </w:p>
    <w:p w14:paraId="56BD99DD" w14:textId="77777777" w:rsidR="002A2C23" w:rsidRDefault="002A2C23" w:rsidP="002A2C23">
      <w:pPr>
        <w:pStyle w:val="FootnoteText"/>
      </w:pPr>
    </w:p>
  </w:footnote>
  <w:footnote w:id="3">
    <w:p w14:paraId="42C49595" w14:textId="77777777" w:rsidR="002A2C23" w:rsidRPr="00195B77" w:rsidRDefault="002A2C23" w:rsidP="002A2C23">
      <w:pPr>
        <w:pStyle w:val="FootnoteText"/>
      </w:pPr>
      <w:r>
        <w:rPr>
          <w:rStyle w:val="FootnoteReference"/>
        </w:rPr>
        <w:footnoteRef/>
      </w:r>
      <w:r>
        <w:t xml:space="preserve"> </w:t>
      </w:r>
      <w:r w:rsidRPr="00195B77">
        <w:t xml:space="preserve">See Decision 34/2018 of the Hellenic Data Protection Authority </w:t>
      </w:r>
      <w:hyperlink r:id="rId2" w:history="1">
        <w:r w:rsidRPr="00A82D6D">
          <w:rPr>
            <w:rStyle w:val="Hyperlink"/>
          </w:rPr>
          <w:t>https</w:t>
        </w:r>
        <w:r w:rsidRPr="00195B77">
          <w:rPr>
            <w:rStyle w:val="Hyperlink"/>
          </w:rPr>
          <w:t>://</w:t>
        </w:r>
        <w:r w:rsidRPr="00A82D6D">
          <w:rPr>
            <w:rStyle w:val="Hyperlink"/>
          </w:rPr>
          <w:t>www</w:t>
        </w:r>
        <w:r w:rsidRPr="00195B77">
          <w:rPr>
            <w:rStyle w:val="Hyperlink"/>
          </w:rPr>
          <w:t>.</w:t>
        </w:r>
        <w:r w:rsidRPr="00A82D6D">
          <w:rPr>
            <w:rStyle w:val="Hyperlink"/>
          </w:rPr>
          <w:t>dpa</w:t>
        </w:r>
        <w:r w:rsidRPr="00195B77">
          <w:rPr>
            <w:rStyle w:val="Hyperlink"/>
          </w:rPr>
          <w:t>.</w:t>
        </w:r>
        <w:r w:rsidRPr="00A82D6D">
          <w:rPr>
            <w:rStyle w:val="Hyperlink"/>
          </w:rPr>
          <w:t>gr</w:t>
        </w:r>
        <w:r w:rsidRPr="00195B77">
          <w:rPr>
            <w:rStyle w:val="Hyperlink"/>
          </w:rPr>
          <w:t>/</w:t>
        </w:r>
        <w:r w:rsidRPr="00A82D6D">
          <w:rPr>
            <w:rStyle w:val="Hyperlink"/>
          </w:rPr>
          <w:t>el</w:t>
        </w:r>
        <w:r w:rsidRPr="00195B77">
          <w:rPr>
            <w:rStyle w:val="Hyperlink"/>
          </w:rPr>
          <w:t>/</w:t>
        </w:r>
        <w:r w:rsidRPr="00A82D6D">
          <w:rPr>
            <w:rStyle w:val="Hyperlink"/>
          </w:rPr>
          <w:t>enimerwtiko</w:t>
        </w:r>
        <w:r w:rsidRPr="00195B77">
          <w:rPr>
            <w:rStyle w:val="Hyperlink"/>
          </w:rPr>
          <w:t>/</w:t>
        </w:r>
        <w:r w:rsidRPr="00A82D6D">
          <w:rPr>
            <w:rStyle w:val="Hyperlink"/>
          </w:rPr>
          <w:t>prakseisArxis</w:t>
        </w:r>
        <w:r w:rsidRPr="00195B77">
          <w:rPr>
            <w:rStyle w:val="Hyperlink"/>
          </w:rPr>
          <w:t>/</w:t>
        </w:r>
        <w:r w:rsidRPr="00A82D6D">
          <w:rPr>
            <w:rStyle w:val="Hyperlink"/>
          </w:rPr>
          <w:t>eleghos</w:t>
        </w:r>
        <w:r w:rsidRPr="00195B77">
          <w:rPr>
            <w:rStyle w:val="Hyperlink"/>
          </w:rPr>
          <w:t>-</w:t>
        </w:r>
        <w:r w:rsidRPr="00A82D6D">
          <w:rPr>
            <w:rStyle w:val="Hyperlink"/>
          </w:rPr>
          <w:t>ilektronikoy</w:t>
        </w:r>
        <w:r w:rsidRPr="00195B77">
          <w:rPr>
            <w:rStyle w:val="Hyperlink"/>
          </w:rPr>
          <w:t>-</w:t>
        </w:r>
        <w:r w:rsidRPr="00A82D6D">
          <w:rPr>
            <w:rStyle w:val="Hyperlink"/>
          </w:rPr>
          <w:t>ypologisti</w:t>
        </w:r>
        <w:r w:rsidRPr="00195B77">
          <w:rPr>
            <w:rStyle w:val="Hyperlink"/>
          </w:rPr>
          <w:t>-</w:t>
        </w:r>
        <w:r w:rsidRPr="00A82D6D">
          <w:rPr>
            <w:rStyle w:val="Hyperlink"/>
          </w:rPr>
          <w:t>ergazomenoy</w:t>
        </w:r>
        <w:r w:rsidRPr="00195B77">
          <w:rPr>
            <w:rStyle w:val="Hyperlink"/>
          </w:rPr>
          <w:t>-</w:t>
        </w:r>
        <w:r w:rsidRPr="00A82D6D">
          <w:rPr>
            <w:rStyle w:val="Hyperlink"/>
          </w:rPr>
          <w:t>apo</w:t>
        </w:r>
        <w:r w:rsidRPr="00195B77">
          <w:rPr>
            <w:rStyle w:val="Hyperlink"/>
          </w:rPr>
          <w:t>-</w:t>
        </w:r>
        <w:r w:rsidRPr="00A82D6D">
          <w:rPr>
            <w:rStyle w:val="Hyperlink"/>
          </w:rPr>
          <w:t>ton</w:t>
        </w:r>
        <w:r w:rsidRPr="00195B77">
          <w:rPr>
            <w:rStyle w:val="Hyperlink"/>
          </w:rPr>
          <w:t>-</w:t>
        </w:r>
        <w:r w:rsidRPr="00A82D6D">
          <w:rPr>
            <w:rStyle w:val="Hyperlink"/>
          </w:rPr>
          <w:t>ergodoti</w:t>
        </w:r>
      </w:hyperlink>
      <w:r w:rsidRPr="00195B77">
        <w:t xml:space="preserve"> </w:t>
      </w:r>
    </w:p>
  </w:footnote>
  <w:footnote w:id="4">
    <w:p w14:paraId="0AAB4BAD" w14:textId="77777777" w:rsidR="002A2C23" w:rsidRPr="004912E3" w:rsidRDefault="002A2C23" w:rsidP="002A2C23">
      <w:pPr>
        <w:pStyle w:val="FootnoteText"/>
      </w:pPr>
      <w:r>
        <w:rPr>
          <w:rStyle w:val="FootnoteReference"/>
        </w:rPr>
        <w:footnoteRef/>
      </w:r>
      <w:r>
        <w:t xml:space="preserve"> </w:t>
      </w:r>
      <w:r w:rsidRPr="00195B77">
        <w:t xml:space="preserve">See Directive 115/2001 of the Hellenic Data Protection Authority </w:t>
      </w:r>
      <w:hyperlink r:id="rId3" w:history="1">
        <w:r w:rsidRPr="004912E3">
          <w:rPr>
            <w:rStyle w:val="Hyperlink"/>
          </w:rPr>
          <w:t>https://www.dpa.gr/el/enimerwtiko/prakseisArxis/prostasia-ton-prosopikon-dedomenon-sto-pedio-ton-ergasiakon-sheseon</w:t>
        </w:r>
      </w:hyperlink>
      <w:r w:rsidRPr="004912E3">
        <w:t xml:space="preserve"> </w:t>
      </w:r>
    </w:p>
  </w:footnote>
  <w:footnote w:id="5">
    <w:p w14:paraId="6882D774" w14:textId="77777777" w:rsidR="002A2C23" w:rsidRPr="004912E3" w:rsidRDefault="002A2C23" w:rsidP="002A2C23">
      <w:pPr>
        <w:pStyle w:val="FootnoteText"/>
      </w:pPr>
      <w:r>
        <w:rPr>
          <w:rStyle w:val="FootnoteReference"/>
        </w:rPr>
        <w:footnoteRef/>
      </w:r>
      <w:r>
        <w:t xml:space="preserve"> </w:t>
      </w:r>
      <w:r w:rsidRPr="004912E3">
        <w:t xml:space="preserve">See Opinion 02/2017 of the Article 29 Working Party </w:t>
      </w:r>
      <w:hyperlink r:id="rId4" w:history="1">
        <w:r w:rsidRPr="008E1A14">
          <w:rPr>
            <w:rStyle w:val="Hyperlink"/>
          </w:rPr>
          <w:t>https://ec.europa.eu/newsroom/article29/items/610169/en</w:t>
        </w:r>
      </w:hyperlink>
      <w:r w:rsidRPr="004912E3">
        <w:t xml:space="preserve"> </w:t>
      </w:r>
    </w:p>
  </w:footnote>
  <w:footnote w:id="6">
    <w:p w14:paraId="7E907266" w14:textId="77777777" w:rsidR="002A2C23" w:rsidRPr="004912E3" w:rsidRDefault="002A2C23" w:rsidP="002A2C23">
      <w:pPr>
        <w:pStyle w:val="FootnoteText"/>
      </w:pPr>
      <w:r>
        <w:rPr>
          <w:rStyle w:val="FootnoteReference"/>
        </w:rPr>
        <w:footnoteRef/>
      </w:r>
      <w:r>
        <w:t xml:space="preserve"> </w:t>
      </w:r>
      <w:r w:rsidRPr="004912E3">
        <w:t xml:space="preserve">See Decision 37/2007 of the Hellenic Data Protection Authority </w:t>
      </w:r>
      <w:hyperlink r:id="rId5" w:history="1">
        <w:r w:rsidRPr="004912E3">
          <w:rPr>
            <w:rStyle w:val="Hyperlink"/>
          </w:rPr>
          <w:t>https://www.dpa.gr/el/enimerwtiko/prakseisArxis/eleghos-ypologisti-ergazomenoy</w:t>
        </w:r>
      </w:hyperlink>
      <w:r w:rsidRPr="004912E3">
        <w:t xml:space="preserve">   </w:t>
      </w:r>
    </w:p>
  </w:footnote>
  <w:footnote w:id="7">
    <w:p w14:paraId="0681BD87" w14:textId="77777777" w:rsidR="002A2C23" w:rsidRPr="004912E3" w:rsidRDefault="002A2C23" w:rsidP="002A2C23">
      <w:pPr>
        <w:pStyle w:val="FootnoteText"/>
      </w:pPr>
      <w:r>
        <w:rPr>
          <w:rStyle w:val="FootnoteReference"/>
        </w:rPr>
        <w:footnoteRef/>
      </w:r>
      <w:r>
        <w:t xml:space="preserve"> </w:t>
      </w:r>
      <w:r w:rsidRPr="004912E3">
        <w:t xml:space="preserve">See Opinion 02/2017 of the Article 29 Working Party </w:t>
      </w:r>
      <w:hyperlink r:id="rId6" w:history="1">
        <w:r w:rsidRPr="004912E3">
          <w:rPr>
            <w:rStyle w:val="Hyperlink"/>
          </w:rPr>
          <w:t>https://ec.europa.eu/newsroom/article29/items/610169/en</w:t>
        </w:r>
      </w:hyperlink>
      <w:r w:rsidRPr="004912E3">
        <w:t xml:space="preserve"> </w:t>
      </w:r>
    </w:p>
  </w:footnote>
  <w:footnote w:id="8">
    <w:p w14:paraId="3A508AEE" w14:textId="77777777" w:rsidR="002A2C23" w:rsidRPr="004912E3" w:rsidRDefault="002A2C23" w:rsidP="002A2C23">
      <w:pPr>
        <w:pStyle w:val="FootnoteText"/>
      </w:pPr>
      <w:r>
        <w:rPr>
          <w:rStyle w:val="FootnoteReference"/>
        </w:rPr>
        <w:footnoteRef/>
      </w:r>
      <w:r>
        <w:t xml:space="preserve"> </w:t>
      </w:r>
      <w:r w:rsidRPr="004912E3">
        <w:t xml:space="preserve">See Guidelines 01/2024 of the European Data Protection Board (EDPB) </w:t>
      </w:r>
      <w:hyperlink r:id="rId7" w:history="1">
        <w:r w:rsidRPr="004912E3">
          <w:rPr>
            <w:rStyle w:val="Hyperlink"/>
            <w:rFonts w:ascii="Times New Roman" w:hAnsi="Times New Roman" w:cs="Times New Roman"/>
            <w:sz w:val="22"/>
            <w:szCs w:val="22"/>
          </w:rPr>
          <w:t>https://www.edpb.europa.eu/our-work-tools/documents/public-consultations/2024/guidelines-12024-processing-personal-data-based_en</w:t>
        </w:r>
      </w:hyperlink>
    </w:p>
  </w:footnote>
  <w:footnote w:id="9">
    <w:p w14:paraId="3EEEB0B7" w14:textId="77777777" w:rsidR="002A2C23" w:rsidRPr="00677AE7" w:rsidRDefault="002A2C23" w:rsidP="002A2C23">
      <w:pPr>
        <w:pStyle w:val="FootnoteText"/>
      </w:pPr>
      <w:r>
        <w:rPr>
          <w:rStyle w:val="FootnoteReference"/>
        </w:rPr>
        <w:footnoteRef/>
      </w:r>
      <w:r>
        <w:t xml:space="preserve"> </w:t>
      </w:r>
      <w:r w:rsidRPr="00677AE7">
        <w:t xml:space="preserve">See Guidelines 05/2020 of the European Data Protection Board (EDPB) on Consent </w:t>
      </w:r>
      <w:hyperlink r:id="rId8" w:history="1">
        <w:r w:rsidRPr="00677AE7">
          <w:rPr>
            <w:rStyle w:val="Hyperlink"/>
          </w:rPr>
          <w:t>https://www.edpb.europa.eu/sites/default/files/files/file1/edpb_guidelines_202005_consent_el.pdf</w:t>
        </w:r>
      </w:hyperlink>
      <w:r w:rsidRPr="00677AE7">
        <w:t xml:space="preserve">  </w:t>
      </w:r>
    </w:p>
  </w:footnote>
  <w:footnote w:id="10">
    <w:p w14:paraId="65FE37AB" w14:textId="77777777" w:rsidR="002A2C23" w:rsidRPr="00677AE7" w:rsidRDefault="002A2C23" w:rsidP="002A2C23">
      <w:pPr>
        <w:pStyle w:val="FootnoteText"/>
      </w:pPr>
      <w:r>
        <w:rPr>
          <w:rStyle w:val="FootnoteReference"/>
        </w:rPr>
        <w:footnoteRef/>
      </w:r>
      <w:r>
        <w:t xml:space="preserve"> </w:t>
      </w:r>
      <w:r w:rsidRPr="00677AE7">
        <w:t xml:space="preserve"> See Opinion 15/201 of the Article 29 Working Party </w:t>
      </w:r>
      <w:hyperlink r:id="rId9" w:history="1">
        <w:r w:rsidRPr="003A46E7">
          <w:rPr>
            <w:rStyle w:val="Hyperlink"/>
          </w:rPr>
          <w:t>https</w:t>
        </w:r>
        <w:r w:rsidRPr="00677AE7">
          <w:rPr>
            <w:rStyle w:val="Hyperlink"/>
          </w:rPr>
          <w:t>://</w:t>
        </w:r>
        <w:r w:rsidRPr="003A46E7">
          <w:rPr>
            <w:rStyle w:val="Hyperlink"/>
          </w:rPr>
          <w:t>www</w:t>
        </w:r>
        <w:r w:rsidRPr="00677AE7">
          <w:rPr>
            <w:rStyle w:val="Hyperlink"/>
          </w:rPr>
          <w:t>.</w:t>
        </w:r>
        <w:r w:rsidRPr="003A46E7">
          <w:rPr>
            <w:rStyle w:val="Hyperlink"/>
          </w:rPr>
          <w:t>dpa</w:t>
        </w:r>
        <w:r w:rsidRPr="00677AE7">
          <w:rPr>
            <w:rStyle w:val="Hyperlink"/>
          </w:rPr>
          <w:t>.</w:t>
        </w:r>
        <w:r w:rsidRPr="003A46E7">
          <w:rPr>
            <w:rStyle w:val="Hyperlink"/>
          </w:rPr>
          <w:t>gr</w:t>
        </w:r>
        <w:r w:rsidRPr="00677AE7">
          <w:rPr>
            <w:rStyle w:val="Hyperlink"/>
          </w:rPr>
          <w:t>/</w:t>
        </w:r>
        <w:r w:rsidRPr="003A46E7">
          <w:rPr>
            <w:rStyle w:val="Hyperlink"/>
          </w:rPr>
          <w:t>sites</w:t>
        </w:r>
        <w:r w:rsidRPr="00677AE7">
          <w:rPr>
            <w:rStyle w:val="Hyperlink"/>
          </w:rPr>
          <w:t>/</w:t>
        </w:r>
        <w:r w:rsidRPr="003A46E7">
          <w:rPr>
            <w:rStyle w:val="Hyperlink"/>
          </w:rPr>
          <w:t>default</w:t>
        </w:r>
        <w:r w:rsidRPr="00677AE7">
          <w:rPr>
            <w:rStyle w:val="Hyperlink"/>
          </w:rPr>
          <w:t>/</w:t>
        </w:r>
        <w:r w:rsidRPr="003A46E7">
          <w:rPr>
            <w:rStyle w:val="Hyperlink"/>
          </w:rPr>
          <w:t>files</w:t>
        </w:r>
        <w:r w:rsidRPr="00677AE7">
          <w:rPr>
            <w:rStyle w:val="Hyperlink"/>
          </w:rPr>
          <w:t>/2019-10/</w:t>
        </w:r>
        <w:r w:rsidRPr="003A46E7">
          <w:rPr>
            <w:rStyle w:val="Hyperlink"/>
          </w:rPr>
          <w:t>WP</w:t>
        </w:r>
        <w:r w:rsidRPr="00677AE7">
          <w:rPr>
            <w:rStyle w:val="Hyperlink"/>
          </w:rPr>
          <w:t>187_</w:t>
        </w:r>
        <w:r w:rsidRPr="003A46E7">
          <w:rPr>
            <w:rStyle w:val="Hyperlink"/>
          </w:rPr>
          <w:t>EL</w:t>
        </w:r>
        <w:r w:rsidRPr="00677AE7">
          <w:rPr>
            <w:rStyle w:val="Hyperlink"/>
          </w:rPr>
          <w:t>.</w:t>
        </w:r>
        <w:r w:rsidRPr="003A46E7">
          <w:rPr>
            <w:rStyle w:val="Hyperlink"/>
          </w:rPr>
          <w:t>PDF</w:t>
        </w:r>
      </w:hyperlink>
      <w:r w:rsidRPr="00677AE7">
        <w:t xml:space="preserve">  </w:t>
      </w:r>
    </w:p>
    <w:p w14:paraId="64AA7722" w14:textId="77777777" w:rsidR="002A2C23" w:rsidRPr="00677AE7" w:rsidRDefault="002A2C23" w:rsidP="002A2C23">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7C4B6" w14:textId="1CE33EBD" w:rsidR="00BD41B9" w:rsidRDefault="00BD41B9">
    <w:pPr>
      <w:pStyle w:val="Header"/>
    </w:pPr>
    <w:r>
      <w:rPr>
        <w:noProof/>
      </w:rPr>
      <w:drawing>
        <wp:inline distT="0" distB="0" distL="0" distR="0" wp14:anchorId="54EA8E4F" wp14:editId="374776B1">
          <wp:extent cx="1539025" cy="385590"/>
          <wp:effectExtent l="0" t="0" r="4445" b="0"/>
          <wp:docPr id="1719682918" name="Picture 1" descr="A 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82918" name="Picture 1" descr="A blue letters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68388" cy="3929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442"/>
    <w:multiLevelType w:val="multilevel"/>
    <w:tmpl w:val="9AFA1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eastAsia="Times New Roman" w:hAnsi="Symbol" w:cs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E86F63"/>
    <w:multiLevelType w:val="hybridMultilevel"/>
    <w:tmpl w:val="61C068B4"/>
    <w:lvl w:ilvl="0" w:tplc="3056CB86">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2561BA2"/>
    <w:multiLevelType w:val="hybridMultilevel"/>
    <w:tmpl w:val="B8B6B47E"/>
    <w:lvl w:ilvl="0" w:tplc="012E865E">
      <w:start w:val="3"/>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F4337"/>
    <w:multiLevelType w:val="hybridMultilevel"/>
    <w:tmpl w:val="D08E7A8E"/>
    <w:lvl w:ilvl="0" w:tplc="26FE2A40">
      <w:start w:val="4"/>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C0D42"/>
    <w:multiLevelType w:val="hybridMultilevel"/>
    <w:tmpl w:val="85F6B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0E13F7"/>
    <w:multiLevelType w:val="hybridMultilevel"/>
    <w:tmpl w:val="B00E8FF6"/>
    <w:lvl w:ilvl="0" w:tplc="AFEC74A8">
      <w:start w:val="3"/>
      <w:numFmt w:val="bullet"/>
      <w:lvlText w:val="-"/>
      <w:lvlJc w:val="left"/>
      <w:pPr>
        <w:ind w:left="0" w:hanging="360"/>
      </w:pPr>
      <w:rPr>
        <w:rFonts w:ascii="Times New Roman" w:eastAsia="Times New Roman" w:hAnsi="Times New Roman" w:cs="Times New Roman"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458C586D"/>
    <w:multiLevelType w:val="hybridMultilevel"/>
    <w:tmpl w:val="4FD4EB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4A462A32"/>
    <w:multiLevelType w:val="hybridMultilevel"/>
    <w:tmpl w:val="0914A840"/>
    <w:lvl w:ilvl="0" w:tplc="25385BAA">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5A4F8D"/>
    <w:multiLevelType w:val="multilevel"/>
    <w:tmpl w:val="5A8074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922161"/>
    <w:multiLevelType w:val="hybridMultilevel"/>
    <w:tmpl w:val="8D963A74"/>
    <w:lvl w:ilvl="0" w:tplc="27E0171C">
      <w:start w:val="1"/>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4640DE"/>
    <w:multiLevelType w:val="hybridMultilevel"/>
    <w:tmpl w:val="B1686BBC"/>
    <w:lvl w:ilvl="0" w:tplc="CA607BFC">
      <w:start w:val="2"/>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3558484">
    <w:abstractNumId w:val="6"/>
  </w:num>
  <w:num w:numId="2" w16cid:durableId="1624455881">
    <w:abstractNumId w:val="8"/>
  </w:num>
  <w:num w:numId="3" w16cid:durableId="1102264867">
    <w:abstractNumId w:val="9"/>
  </w:num>
  <w:num w:numId="4" w16cid:durableId="1942840023">
    <w:abstractNumId w:val="10"/>
  </w:num>
  <w:num w:numId="5" w16cid:durableId="2137748763">
    <w:abstractNumId w:val="2"/>
  </w:num>
  <w:num w:numId="6" w16cid:durableId="1830826385">
    <w:abstractNumId w:val="3"/>
  </w:num>
  <w:num w:numId="7" w16cid:durableId="1331250162">
    <w:abstractNumId w:val="0"/>
  </w:num>
  <w:num w:numId="8" w16cid:durableId="618613608">
    <w:abstractNumId w:val="1"/>
  </w:num>
  <w:num w:numId="9" w16cid:durableId="1877113041">
    <w:abstractNumId w:val="7"/>
  </w:num>
  <w:num w:numId="10" w16cid:durableId="1042483212">
    <w:abstractNumId w:val="5"/>
  </w:num>
  <w:num w:numId="11" w16cid:durableId="1342857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B9"/>
    <w:rsid w:val="0001347D"/>
    <w:rsid w:val="00013518"/>
    <w:rsid w:val="000456BE"/>
    <w:rsid w:val="00045E0E"/>
    <w:rsid w:val="000A1B75"/>
    <w:rsid w:val="000B47F8"/>
    <w:rsid w:val="000C0C2F"/>
    <w:rsid w:val="000C1191"/>
    <w:rsid w:val="000C3F70"/>
    <w:rsid w:val="000C4EC9"/>
    <w:rsid w:val="000F6835"/>
    <w:rsid w:val="00105EBD"/>
    <w:rsid w:val="00106C30"/>
    <w:rsid w:val="00124F72"/>
    <w:rsid w:val="0013221B"/>
    <w:rsid w:val="00142930"/>
    <w:rsid w:val="001476FC"/>
    <w:rsid w:val="0016312C"/>
    <w:rsid w:val="00164376"/>
    <w:rsid w:val="00186DDD"/>
    <w:rsid w:val="001A7AE5"/>
    <w:rsid w:val="001A7F34"/>
    <w:rsid w:val="001B0729"/>
    <w:rsid w:val="001B1974"/>
    <w:rsid w:val="001B1FFB"/>
    <w:rsid w:val="001B246B"/>
    <w:rsid w:val="001B5291"/>
    <w:rsid w:val="001D493E"/>
    <w:rsid w:val="001D55D1"/>
    <w:rsid w:val="001D7B2D"/>
    <w:rsid w:val="001E19CC"/>
    <w:rsid w:val="0021095C"/>
    <w:rsid w:val="00211F47"/>
    <w:rsid w:val="002201CC"/>
    <w:rsid w:val="00235ED0"/>
    <w:rsid w:val="00256E38"/>
    <w:rsid w:val="0026347D"/>
    <w:rsid w:val="00265771"/>
    <w:rsid w:val="0027654C"/>
    <w:rsid w:val="00282FB5"/>
    <w:rsid w:val="002871ED"/>
    <w:rsid w:val="002872F9"/>
    <w:rsid w:val="00290B61"/>
    <w:rsid w:val="002A2C23"/>
    <w:rsid w:val="002A4A5E"/>
    <w:rsid w:val="002C7351"/>
    <w:rsid w:val="002D6A2D"/>
    <w:rsid w:val="002E36F7"/>
    <w:rsid w:val="002E67D0"/>
    <w:rsid w:val="002F3518"/>
    <w:rsid w:val="002F7BCF"/>
    <w:rsid w:val="00302A8A"/>
    <w:rsid w:val="00303A1A"/>
    <w:rsid w:val="00312771"/>
    <w:rsid w:val="0032576D"/>
    <w:rsid w:val="00352C3B"/>
    <w:rsid w:val="003676FE"/>
    <w:rsid w:val="00376F14"/>
    <w:rsid w:val="00383A19"/>
    <w:rsid w:val="00390D1F"/>
    <w:rsid w:val="003A0FDF"/>
    <w:rsid w:val="003C0EF9"/>
    <w:rsid w:val="003C2EFC"/>
    <w:rsid w:val="003D3D78"/>
    <w:rsid w:val="003E0B57"/>
    <w:rsid w:val="003E3A44"/>
    <w:rsid w:val="003E6A27"/>
    <w:rsid w:val="003E7D01"/>
    <w:rsid w:val="003F3B2F"/>
    <w:rsid w:val="00407F0D"/>
    <w:rsid w:val="00420800"/>
    <w:rsid w:val="00432536"/>
    <w:rsid w:val="00433631"/>
    <w:rsid w:val="00435A57"/>
    <w:rsid w:val="00444C35"/>
    <w:rsid w:val="004630BF"/>
    <w:rsid w:val="00464D25"/>
    <w:rsid w:val="00470719"/>
    <w:rsid w:val="00495B7F"/>
    <w:rsid w:val="004967A0"/>
    <w:rsid w:val="004A0BFF"/>
    <w:rsid w:val="004B61A3"/>
    <w:rsid w:val="004C220A"/>
    <w:rsid w:val="004E7D68"/>
    <w:rsid w:val="004F1E0F"/>
    <w:rsid w:val="004F2397"/>
    <w:rsid w:val="004F772E"/>
    <w:rsid w:val="00503BFD"/>
    <w:rsid w:val="005053AE"/>
    <w:rsid w:val="0053260D"/>
    <w:rsid w:val="00542959"/>
    <w:rsid w:val="00544BCA"/>
    <w:rsid w:val="005545E0"/>
    <w:rsid w:val="005669B0"/>
    <w:rsid w:val="0057253D"/>
    <w:rsid w:val="0057480E"/>
    <w:rsid w:val="005763F6"/>
    <w:rsid w:val="00581412"/>
    <w:rsid w:val="00583186"/>
    <w:rsid w:val="005842BF"/>
    <w:rsid w:val="005C0A76"/>
    <w:rsid w:val="005D0A40"/>
    <w:rsid w:val="005D7D8C"/>
    <w:rsid w:val="005F15CF"/>
    <w:rsid w:val="005F4BEA"/>
    <w:rsid w:val="005F55E9"/>
    <w:rsid w:val="006040BA"/>
    <w:rsid w:val="006118B1"/>
    <w:rsid w:val="006124C7"/>
    <w:rsid w:val="00621FF6"/>
    <w:rsid w:val="006248CA"/>
    <w:rsid w:val="006278BA"/>
    <w:rsid w:val="00630DB2"/>
    <w:rsid w:val="00641C43"/>
    <w:rsid w:val="00646ADE"/>
    <w:rsid w:val="00653A6B"/>
    <w:rsid w:val="00661963"/>
    <w:rsid w:val="006659FC"/>
    <w:rsid w:val="006670AA"/>
    <w:rsid w:val="00691644"/>
    <w:rsid w:val="0069671B"/>
    <w:rsid w:val="006A5F13"/>
    <w:rsid w:val="006B768F"/>
    <w:rsid w:val="006C0576"/>
    <w:rsid w:val="006C143C"/>
    <w:rsid w:val="006C37ED"/>
    <w:rsid w:val="006D4644"/>
    <w:rsid w:val="006D6377"/>
    <w:rsid w:val="006E0A9E"/>
    <w:rsid w:val="007169C8"/>
    <w:rsid w:val="00716E61"/>
    <w:rsid w:val="00721983"/>
    <w:rsid w:val="0073166B"/>
    <w:rsid w:val="00735116"/>
    <w:rsid w:val="007358F9"/>
    <w:rsid w:val="00737F0F"/>
    <w:rsid w:val="00751366"/>
    <w:rsid w:val="00751E37"/>
    <w:rsid w:val="007604E0"/>
    <w:rsid w:val="007750CB"/>
    <w:rsid w:val="00775A96"/>
    <w:rsid w:val="00777D14"/>
    <w:rsid w:val="007B2F7C"/>
    <w:rsid w:val="007C46E4"/>
    <w:rsid w:val="007D589D"/>
    <w:rsid w:val="007E010D"/>
    <w:rsid w:val="007E7FC8"/>
    <w:rsid w:val="00812916"/>
    <w:rsid w:val="00817A52"/>
    <w:rsid w:val="00832EBF"/>
    <w:rsid w:val="008419EC"/>
    <w:rsid w:val="008522D2"/>
    <w:rsid w:val="008604D4"/>
    <w:rsid w:val="0087448F"/>
    <w:rsid w:val="00875453"/>
    <w:rsid w:val="00887909"/>
    <w:rsid w:val="008A2643"/>
    <w:rsid w:val="008D1745"/>
    <w:rsid w:val="008D7CC6"/>
    <w:rsid w:val="008E19E7"/>
    <w:rsid w:val="008E2146"/>
    <w:rsid w:val="00901F63"/>
    <w:rsid w:val="00903C6C"/>
    <w:rsid w:val="009266BF"/>
    <w:rsid w:val="00931C60"/>
    <w:rsid w:val="00961EB9"/>
    <w:rsid w:val="00974AC3"/>
    <w:rsid w:val="00982DA4"/>
    <w:rsid w:val="0098665C"/>
    <w:rsid w:val="0099292D"/>
    <w:rsid w:val="009B4420"/>
    <w:rsid w:val="009E0201"/>
    <w:rsid w:val="009E059B"/>
    <w:rsid w:val="009E2D1C"/>
    <w:rsid w:val="009E71FA"/>
    <w:rsid w:val="009F6C2E"/>
    <w:rsid w:val="00A24ED2"/>
    <w:rsid w:val="00A25703"/>
    <w:rsid w:val="00A2722C"/>
    <w:rsid w:val="00A27319"/>
    <w:rsid w:val="00A33B72"/>
    <w:rsid w:val="00A45097"/>
    <w:rsid w:val="00A4553F"/>
    <w:rsid w:val="00A51401"/>
    <w:rsid w:val="00A51ABC"/>
    <w:rsid w:val="00A652C1"/>
    <w:rsid w:val="00A73D95"/>
    <w:rsid w:val="00A74F9F"/>
    <w:rsid w:val="00A77921"/>
    <w:rsid w:val="00A85DE3"/>
    <w:rsid w:val="00AA5E4A"/>
    <w:rsid w:val="00AD6538"/>
    <w:rsid w:val="00AF38DC"/>
    <w:rsid w:val="00AF79DB"/>
    <w:rsid w:val="00B071DE"/>
    <w:rsid w:val="00B12137"/>
    <w:rsid w:val="00B1261F"/>
    <w:rsid w:val="00B16E3D"/>
    <w:rsid w:val="00B1783D"/>
    <w:rsid w:val="00B244FE"/>
    <w:rsid w:val="00B34329"/>
    <w:rsid w:val="00B34B31"/>
    <w:rsid w:val="00B41E72"/>
    <w:rsid w:val="00B954CB"/>
    <w:rsid w:val="00BA4F4F"/>
    <w:rsid w:val="00BA6E33"/>
    <w:rsid w:val="00BB75BF"/>
    <w:rsid w:val="00BC5CF5"/>
    <w:rsid w:val="00BD02BC"/>
    <w:rsid w:val="00BD41B9"/>
    <w:rsid w:val="00C10BFD"/>
    <w:rsid w:val="00C16EB8"/>
    <w:rsid w:val="00C173F3"/>
    <w:rsid w:val="00C252BC"/>
    <w:rsid w:val="00C43A54"/>
    <w:rsid w:val="00C4533F"/>
    <w:rsid w:val="00C63CA1"/>
    <w:rsid w:val="00C652BF"/>
    <w:rsid w:val="00C76C3A"/>
    <w:rsid w:val="00C81A6C"/>
    <w:rsid w:val="00CA02E3"/>
    <w:rsid w:val="00CA1862"/>
    <w:rsid w:val="00CB2639"/>
    <w:rsid w:val="00CC20BC"/>
    <w:rsid w:val="00CC23DB"/>
    <w:rsid w:val="00CC6DCF"/>
    <w:rsid w:val="00CD51DE"/>
    <w:rsid w:val="00CE468D"/>
    <w:rsid w:val="00D269C0"/>
    <w:rsid w:val="00D42202"/>
    <w:rsid w:val="00D4295B"/>
    <w:rsid w:val="00D5117F"/>
    <w:rsid w:val="00D53491"/>
    <w:rsid w:val="00D60AEB"/>
    <w:rsid w:val="00D62E75"/>
    <w:rsid w:val="00D654FE"/>
    <w:rsid w:val="00D7515C"/>
    <w:rsid w:val="00D81BF4"/>
    <w:rsid w:val="00D9105C"/>
    <w:rsid w:val="00D967E0"/>
    <w:rsid w:val="00DA10D6"/>
    <w:rsid w:val="00DB0124"/>
    <w:rsid w:val="00DB73F5"/>
    <w:rsid w:val="00DE352F"/>
    <w:rsid w:val="00DE64A9"/>
    <w:rsid w:val="00E0382F"/>
    <w:rsid w:val="00E270FF"/>
    <w:rsid w:val="00E350E9"/>
    <w:rsid w:val="00E52325"/>
    <w:rsid w:val="00E654DC"/>
    <w:rsid w:val="00E66F0D"/>
    <w:rsid w:val="00E72AEB"/>
    <w:rsid w:val="00E77585"/>
    <w:rsid w:val="00E83257"/>
    <w:rsid w:val="00EA08BB"/>
    <w:rsid w:val="00EA559F"/>
    <w:rsid w:val="00EB2ABF"/>
    <w:rsid w:val="00EC0479"/>
    <w:rsid w:val="00ED280A"/>
    <w:rsid w:val="00ED5818"/>
    <w:rsid w:val="00F067A8"/>
    <w:rsid w:val="00F1787C"/>
    <w:rsid w:val="00F204E5"/>
    <w:rsid w:val="00F21283"/>
    <w:rsid w:val="00F233EE"/>
    <w:rsid w:val="00F32579"/>
    <w:rsid w:val="00F376C2"/>
    <w:rsid w:val="00F5214F"/>
    <w:rsid w:val="00F533DA"/>
    <w:rsid w:val="00F6612F"/>
    <w:rsid w:val="00F83470"/>
    <w:rsid w:val="00F84114"/>
    <w:rsid w:val="00F87D7C"/>
    <w:rsid w:val="00FA46C8"/>
    <w:rsid w:val="00FB4617"/>
    <w:rsid w:val="00FB57A0"/>
    <w:rsid w:val="00FE1746"/>
    <w:rsid w:val="00FE2D83"/>
    <w:rsid w:val="00FE3B1D"/>
    <w:rsid w:val="00FF446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A1E60C"/>
  <w15:chartTrackingRefBased/>
  <w15:docId w15:val="{55C61AA0-E208-4DB9-B3A0-84A5C92E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l-GR" w:eastAsia="el-GR"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caption" w:semiHidden="1" w:unhideWhenUsed="1" w:qFormat="1"/>
    <w:lsdException w:name="footnote reference" w:uiPriority="99" w:qFormat="1"/>
    <w:lsdException w:name="Title" w:qFormat="1"/>
    <w:lsdException w:name="Subtitle" w:qFormat="1"/>
    <w:lsdException w:name="Hyperlink" w:uiPriority="99"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D41B9"/>
    <w:rPr>
      <w:rFonts w:asciiTheme="minorHAnsi" w:eastAsiaTheme="minorEastAsia" w:hAnsiTheme="minorHAnsi" w:cstheme="minorBidi"/>
      <w:kern w:val="0"/>
      <w:sz w:val="22"/>
      <w:szCs w:val="22"/>
      <w:lang w:val="en-US" w:eastAsia="en-US"/>
      <w14:ligatures w14:val="none"/>
    </w:rPr>
  </w:style>
  <w:style w:type="character" w:customStyle="1" w:styleId="NoSpacingChar">
    <w:name w:val="No Spacing Char"/>
    <w:basedOn w:val="DefaultParagraphFont"/>
    <w:link w:val="NoSpacing"/>
    <w:uiPriority w:val="1"/>
    <w:rsid w:val="00BD41B9"/>
    <w:rPr>
      <w:rFonts w:asciiTheme="minorHAnsi" w:eastAsiaTheme="minorEastAsia" w:hAnsiTheme="minorHAnsi" w:cstheme="minorBidi"/>
      <w:kern w:val="0"/>
      <w:sz w:val="22"/>
      <w:szCs w:val="22"/>
      <w:lang w:val="en-US" w:eastAsia="en-US"/>
      <w14:ligatures w14:val="none"/>
    </w:rPr>
  </w:style>
  <w:style w:type="paragraph" w:styleId="Header">
    <w:name w:val="header"/>
    <w:basedOn w:val="Normal"/>
    <w:link w:val="HeaderChar"/>
    <w:rsid w:val="00BD41B9"/>
    <w:pPr>
      <w:tabs>
        <w:tab w:val="center" w:pos="4153"/>
        <w:tab w:val="right" w:pos="8306"/>
      </w:tabs>
    </w:pPr>
  </w:style>
  <w:style w:type="character" w:customStyle="1" w:styleId="HeaderChar">
    <w:name w:val="Header Char"/>
    <w:basedOn w:val="DefaultParagraphFont"/>
    <w:link w:val="Header"/>
    <w:rsid w:val="00BD41B9"/>
    <w:rPr>
      <w:sz w:val="24"/>
      <w:szCs w:val="24"/>
    </w:rPr>
  </w:style>
  <w:style w:type="paragraph" w:styleId="Footer">
    <w:name w:val="footer"/>
    <w:basedOn w:val="Normal"/>
    <w:link w:val="FooterChar"/>
    <w:rsid w:val="00BD41B9"/>
    <w:pPr>
      <w:tabs>
        <w:tab w:val="center" w:pos="4153"/>
        <w:tab w:val="right" w:pos="8306"/>
      </w:tabs>
    </w:pPr>
  </w:style>
  <w:style w:type="character" w:customStyle="1" w:styleId="FooterChar">
    <w:name w:val="Footer Char"/>
    <w:basedOn w:val="DefaultParagraphFont"/>
    <w:link w:val="Footer"/>
    <w:rsid w:val="00BD41B9"/>
    <w:rPr>
      <w:sz w:val="24"/>
      <w:szCs w:val="24"/>
    </w:rPr>
  </w:style>
  <w:style w:type="character" w:styleId="Hyperlink">
    <w:name w:val="Hyperlink"/>
    <w:basedOn w:val="DefaultParagraphFont"/>
    <w:uiPriority w:val="99"/>
    <w:qFormat/>
    <w:rsid w:val="009B4420"/>
    <w:rPr>
      <w:color w:val="0563C1" w:themeColor="hyperlink"/>
      <w:u w:val="single"/>
    </w:rPr>
  </w:style>
  <w:style w:type="character" w:styleId="UnresolvedMention">
    <w:name w:val="Unresolved Mention"/>
    <w:basedOn w:val="DefaultParagraphFont"/>
    <w:uiPriority w:val="99"/>
    <w:semiHidden/>
    <w:unhideWhenUsed/>
    <w:rsid w:val="009B4420"/>
    <w:rPr>
      <w:color w:val="605E5C"/>
      <w:shd w:val="clear" w:color="auto" w:fill="E1DFDD"/>
    </w:rPr>
  </w:style>
  <w:style w:type="character" w:styleId="FollowedHyperlink">
    <w:name w:val="FollowedHyperlink"/>
    <w:basedOn w:val="DefaultParagraphFont"/>
    <w:rsid w:val="00CD51DE"/>
    <w:rPr>
      <w:color w:val="954F72" w:themeColor="followedHyperlink"/>
      <w:u w:val="single"/>
    </w:rPr>
  </w:style>
  <w:style w:type="table" w:styleId="TableGrid">
    <w:name w:val="Table Grid"/>
    <w:basedOn w:val="TableNormal"/>
    <w:uiPriority w:val="59"/>
    <w:rsid w:val="00F21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1283"/>
    <w:pPr>
      <w:ind w:left="720"/>
      <w:contextualSpacing/>
    </w:pPr>
  </w:style>
  <w:style w:type="paragraph" w:styleId="FootnoteText">
    <w:name w:val="footnote text"/>
    <w:basedOn w:val="Normal"/>
    <w:link w:val="FootnoteTextChar"/>
    <w:uiPriority w:val="99"/>
    <w:unhideWhenUsed/>
    <w:qFormat/>
    <w:rsid w:val="0013221B"/>
    <w:rPr>
      <w:rFonts w:asciiTheme="minorHAnsi" w:eastAsiaTheme="minorHAnsi"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13221B"/>
    <w:rPr>
      <w:rFonts w:asciiTheme="minorHAnsi" w:eastAsiaTheme="minorHAnsi" w:hAnsiTheme="minorHAnsi" w:cstheme="minorBidi"/>
      <w:lang w:val="en-US" w:eastAsia="en-US"/>
    </w:rPr>
  </w:style>
  <w:style w:type="character" w:styleId="FootnoteReference">
    <w:name w:val="footnote reference"/>
    <w:basedOn w:val="DefaultParagraphFont"/>
    <w:uiPriority w:val="99"/>
    <w:unhideWhenUsed/>
    <w:qFormat/>
    <w:rsid w:val="0013221B"/>
    <w:rPr>
      <w:vertAlign w:val="superscript"/>
    </w:rPr>
  </w:style>
  <w:style w:type="character" w:styleId="Strong">
    <w:name w:val="Strong"/>
    <w:basedOn w:val="DefaultParagraphFont"/>
    <w:uiPriority w:val="22"/>
    <w:qFormat/>
    <w:rsid w:val="00DE64A9"/>
    <w:rPr>
      <w:b/>
      <w:bCs/>
    </w:rPr>
  </w:style>
  <w:style w:type="paragraph" w:customStyle="1" w:styleId="wyq050---odeljak">
    <w:name w:val="wyq050---odeljak"/>
    <w:basedOn w:val="Normal"/>
    <w:rsid w:val="00DE64A9"/>
    <w:pPr>
      <w:spacing w:before="100" w:beforeAutospacing="1" w:after="100" w:afterAutospacing="1"/>
    </w:pPr>
    <w:rPr>
      <w:kern w:val="0"/>
      <w:lang w:val="en-US" w:eastAsia="en-US"/>
      <w14:ligatures w14:val="none"/>
    </w:rPr>
  </w:style>
  <w:style w:type="paragraph" w:styleId="NormalWeb">
    <w:name w:val="Normal (Web)"/>
    <w:basedOn w:val="Normal"/>
    <w:uiPriority w:val="99"/>
    <w:unhideWhenUsed/>
    <w:rsid w:val="00EB2ABF"/>
    <w:pPr>
      <w:spacing w:before="100" w:beforeAutospacing="1" w:after="100" w:afterAutospacing="1"/>
    </w:pPr>
    <w:rPr>
      <w:kern w:val="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110912">
      <w:bodyDiv w:val="1"/>
      <w:marLeft w:val="0"/>
      <w:marRight w:val="0"/>
      <w:marTop w:val="0"/>
      <w:marBottom w:val="0"/>
      <w:divBdr>
        <w:top w:val="none" w:sz="0" w:space="0" w:color="auto"/>
        <w:left w:val="none" w:sz="0" w:space="0" w:color="auto"/>
        <w:bottom w:val="none" w:sz="0" w:space="0" w:color="auto"/>
        <w:right w:val="none" w:sz="0" w:space="0" w:color="auto"/>
      </w:divBdr>
    </w:div>
    <w:div w:id="315451045">
      <w:bodyDiv w:val="1"/>
      <w:marLeft w:val="0"/>
      <w:marRight w:val="0"/>
      <w:marTop w:val="0"/>
      <w:marBottom w:val="0"/>
      <w:divBdr>
        <w:top w:val="none" w:sz="0" w:space="0" w:color="auto"/>
        <w:left w:val="none" w:sz="0" w:space="0" w:color="auto"/>
        <w:bottom w:val="none" w:sz="0" w:space="0" w:color="auto"/>
        <w:right w:val="none" w:sz="0" w:space="0" w:color="auto"/>
      </w:divBdr>
    </w:div>
    <w:div w:id="515730602">
      <w:bodyDiv w:val="1"/>
      <w:marLeft w:val="0"/>
      <w:marRight w:val="0"/>
      <w:marTop w:val="0"/>
      <w:marBottom w:val="0"/>
      <w:divBdr>
        <w:top w:val="none" w:sz="0" w:space="0" w:color="auto"/>
        <w:left w:val="none" w:sz="0" w:space="0" w:color="auto"/>
        <w:bottom w:val="none" w:sz="0" w:space="0" w:color="auto"/>
        <w:right w:val="none" w:sz="0" w:space="0" w:color="auto"/>
      </w:divBdr>
    </w:div>
    <w:div w:id="789737576">
      <w:bodyDiv w:val="1"/>
      <w:marLeft w:val="0"/>
      <w:marRight w:val="0"/>
      <w:marTop w:val="0"/>
      <w:marBottom w:val="0"/>
      <w:divBdr>
        <w:top w:val="none" w:sz="0" w:space="0" w:color="auto"/>
        <w:left w:val="none" w:sz="0" w:space="0" w:color="auto"/>
        <w:bottom w:val="none" w:sz="0" w:space="0" w:color="auto"/>
        <w:right w:val="none" w:sz="0" w:space="0" w:color="auto"/>
      </w:divBdr>
    </w:div>
    <w:div w:id="891581361">
      <w:bodyDiv w:val="1"/>
      <w:marLeft w:val="0"/>
      <w:marRight w:val="0"/>
      <w:marTop w:val="0"/>
      <w:marBottom w:val="0"/>
      <w:divBdr>
        <w:top w:val="none" w:sz="0" w:space="0" w:color="auto"/>
        <w:left w:val="none" w:sz="0" w:space="0" w:color="auto"/>
        <w:bottom w:val="none" w:sz="0" w:space="0" w:color="auto"/>
        <w:right w:val="none" w:sz="0" w:space="0" w:color="auto"/>
      </w:divBdr>
    </w:div>
    <w:div w:id="1034303473">
      <w:bodyDiv w:val="1"/>
      <w:marLeft w:val="0"/>
      <w:marRight w:val="0"/>
      <w:marTop w:val="0"/>
      <w:marBottom w:val="0"/>
      <w:divBdr>
        <w:top w:val="none" w:sz="0" w:space="0" w:color="auto"/>
        <w:left w:val="none" w:sz="0" w:space="0" w:color="auto"/>
        <w:bottom w:val="none" w:sz="0" w:space="0" w:color="auto"/>
        <w:right w:val="none" w:sz="0" w:space="0" w:color="auto"/>
      </w:divBdr>
    </w:div>
    <w:div w:id="1108083565">
      <w:bodyDiv w:val="1"/>
      <w:marLeft w:val="0"/>
      <w:marRight w:val="0"/>
      <w:marTop w:val="0"/>
      <w:marBottom w:val="0"/>
      <w:divBdr>
        <w:top w:val="none" w:sz="0" w:space="0" w:color="auto"/>
        <w:left w:val="none" w:sz="0" w:space="0" w:color="auto"/>
        <w:bottom w:val="none" w:sz="0" w:space="0" w:color="auto"/>
        <w:right w:val="none" w:sz="0" w:space="0" w:color="auto"/>
      </w:divBdr>
    </w:div>
    <w:div w:id="1291790663">
      <w:bodyDiv w:val="1"/>
      <w:marLeft w:val="0"/>
      <w:marRight w:val="0"/>
      <w:marTop w:val="0"/>
      <w:marBottom w:val="0"/>
      <w:divBdr>
        <w:top w:val="none" w:sz="0" w:space="0" w:color="auto"/>
        <w:left w:val="none" w:sz="0" w:space="0" w:color="auto"/>
        <w:bottom w:val="none" w:sz="0" w:space="0" w:color="auto"/>
        <w:right w:val="none" w:sz="0" w:space="0" w:color="auto"/>
      </w:divBdr>
    </w:div>
    <w:div w:id="1414014441">
      <w:bodyDiv w:val="1"/>
      <w:marLeft w:val="0"/>
      <w:marRight w:val="0"/>
      <w:marTop w:val="0"/>
      <w:marBottom w:val="0"/>
      <w:divBdr>
        <w:top w:val="none" w:sz="0" w:space="0" w:color="auto"/>
        <w:left w:val="none" w:sz="0" w:space="0" w:color="auto"/>
        <w:bottom w:val="none" w:sz="0" w:space="0" w:color="auto"/>
        <w:right w:val="none" w:sz="0" w:space="0" w:color="auto"/>
      </w:divBdr>
    </w:div>
    <w:div w:id="1449659154">
      <w:bodyDiv w:val="1"/>
      <w:marLeft w:val="0"/>
      <w:marRight w:val="0"/>
      <w:marTop w:val="0"/>
      <w:marBottom w:val="0"/>
      <w:divBdr>
        <w:top w:val="none" w:sz="0" w:space="0" w:color="auto"/>
        <w:left w:val="none" w:sz="0" w:space="0" w:color="auto"/>
        <w:bottom w:val="none" w:sz="0" w:space="0" w:color="auto"/>
        <w:right w:val="none" w:sz="0" w:space="0" w:color="auto"/>
      </w:divBdr>
    </w:div>
    <w:div w:id="1615209457">
      <w:bodyDiv w:val="1"/>
      <w:marLeft w:val="0"/>
      <w:marRight w:val="0"/>
      <w:marTop w:val="0"/>
      <w:marBottom w:val="0"/>
      <w:divBdr>
        <w:top w:val="none" w:sz="0" w:space="0" w:color="auto"/>
        <w:left w:val="none" w:sz="0" w:space="0" w:color="auto"/>
        <w:bottom w:val="none" w:sz="0" w:space="0" w:color="auto"/>
        <w:right w:val="none" w:sz="0" w:space="0" w:color="auto"/>
      </w:divBdr>
    </w:div>
    <w:div w:id="1617715634">
      <w:bodyDiv w:val="1"/>
      <w:marLeft w:val="0"/>
      <w:marRight w:val="0"/>
      <w:marTop w:val="0"/>
      <w:marBottom w:val="0"/>
      <w:divBdr>
        <w:top w:val="none" w:sz="0" w:space="0" w:color="auto"/>
        <w:left w:val="none" w:sz="0" w:space="0" w:color="auto"/>
        <w:bottom w:val="none" w:sz="0" w:space="0" w:color="auto"/>
        <w:right w:val="none" w:sz="0" w:space="0" w:color="auto"/>
      </w:divBdr>
    </w:div>
    <w:div w:id="1679691132">
      <w:bodyDiv w:val="1"/>
      <w:marLeft w:val="0"/>
      <w:marRight w:val="0"/>
      <w:marTop w:val="0"/>
      <w:marBottom w:val="0"/>
      <w:divBdr>
        <w:top w:val="none" w:sz="0" w:space="0" w:color="auto"/>
        <w:left w:val="none" w:sz="0" w:space="0" w:color="auto"/>
        <w:bottom w:val="none" w:sz="0" w:space="0" w:color="auto"/>
        <w:right w:val="none" w:sz="0" w:space="0" w:color="auto"/>
      </w:divBdr>
    </w:div>
    <w:div w:id="198207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company/rokas-law-fir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rokas.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edpb.europa.eu/sites/default/files/files/file1/edpb_guidelines_202005_consent_el.pdf" TargetMode="External"/><Relationship Id="rId3" Type="http://schemas.openxmlformats.org/officeDocument/2006/relationships/hyperlink" Target="https://www.dpa.gr/el/enimerwtiko/prakseisArxis/prostasia-ton-prosopikon-dedomenon-sto-pedio-ton-ergasiakon-sheseon" TargetMode="External"/><Relationship Id="rId7" Type="http://schemas.openxmlformats.org/officeDocument/2006/relationships/hyperlink" Target="https://www.edpb.europa.eu/our-work-tools/documents/public-consultations/2024/guidelines-12024-processing-personal-data-based_en" TargetMode="External"/><Relationship Id="rId2" Type="http://schemas.openxmlformats.org/officeDocument/2006/relationships/hyperlink" Target="https://www.dpa.gr/el/enimerwtiko/prakseisArxis/eleghos-ilektronikoy-ypologisti-ergazomenoy-apo-ton-ergodoti" TargetMode="External"/><Relationship Id="rId1" Type="http://schemas.openxmlformats.org/officeDocument/2006/relationships/hyperlink" Target="https://hudoc.echr.coe.int/fre" TargetMode="External"/><Relationship Id="rId6" Type="http://schemas.openxmlformats.org/officeDocument/2006/relationships/hyperlink" Target="https://ec.europa.eu/newsroom/article29/items/610169/en" TargetMode="External"/><Relationship Id="rId5" Type="http://schemas.openxmlformats.org/officeDocument/2006/relationships/hyperlink" Target="https://www.dpa.gr/el/enimerwtiko/prakseisArxis/eleghos-ypologisti-ergazomenoy" TargetMode="External"/><Relationship Id="rId4" Type="http://schemas.openxmlformats.org/officeDocument/2006/relationships/hyperlink" Target="https://ec.europa.eu/newsroom/article29/items/610169/en" TargetMode="External"/><Relationship Id="rId9" Type="http://schemas.openxmlformats.org/officeDocument/2006/relationships/hyperlink" Target="https://www.dpa.gr/sites/default/files/2019-10/WP187_EL.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07373808-a26f-42a8-b3eb-fd017e1d72fe">6WNPX6TT7VPV-1664350215-490682</_dlc_DocId>
    <_dlc_DocIdUrl xmlns="07373808-a26f-42a8-b3eb-fd017e1d72fe">
      <Url>https://rokaslaw.sharepoint.com/sites/commonfiles/_layouts/15/DocIdRedir.aspx?ID=6WNPX6TT7VPV-1664350215-490682</Url>
      <Description>6WNPX6TT7VPV-1664350215-490682</Description>
    </_dlc_DocIdUrl>
    <lcf76f155ced4ddcb4097134ff3c332f xmlns="aba4ebed-5601-469d-a03b-67b9039d1904">
      <Terms xmlns="http://schemas.microsoft.com/office/infopath/2007/PartnerControls"/>
    </lcf76f155ced4ddcb4097134ff3c332f>
    <TaxCatchAll xmlns="07373808-a26f-42a8-b3eb-fd017e1d72fe"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B5859CAB6A1D64181E48CF43990205C" ma:contentTypeVersion="19" ma:contentTypeDescription="Create a new document." ma:contentTypeScope="" ma:versionID="9d7e1f4f7a99a435106685d300e555c8">
  <xsd:schema xmlns:xsd="http://www.w3.org/2001/XMLSchema" xmlns:xs="http://www.w3.org/2001/XMLSchema" xmlns:p="http://schemas.microsoft.com/office/2006/metadata/properties" xmlns:ns2="07373808-a26f-42a8-b3eb-fd017e1d72fe" xmlns:ns3="aba4ebed-5601-469d-a03b-67b9039d1904" targetNamespace="http://schemas.microsoft.com/office/2006/metadata/properties" ma:root="true" ma:fieldsID="d3e21b4a52a397dc800374402251df77" ns2:_="" ns3:_="">
    <xsd:import namespace="07373808-a26f-42a8-b3eb-fd017e1d72fe"/>
    <xsd:import namespace="aba4ebed-5601-469d-a03b-67b9039d190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373808-a26f-42a8-b3eb-fd017e1d72f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d39218f-c314-4a67-9eae-8918b2c4bb33}" ma:internalName="TaxCatchAll" ma:showField="CatchAllData" ma:web="07373808-a26f-42a8-b3eb-fd017e1d72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a4ebed-5601-469d-a03b-67b9039d19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0ddb97d-2ec1-458b-9b21-9662d64b0a1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28D83E3-776D-43ED-9273-73927AF8120A}">
  <ds:schemaRefs>
    <ds:schemaRef ds:uri="http://schemas.openxmlformats.org/officeDocument/2006/bibliography"/>
  </ds:schemaRefs>
</ds:datastoreItem>
</file>

<file path=customXml/itemProps2.xml><?xml version="1.0" encoding="utf-8"?>
<ds:datastoreItem xmlns:ds="http://schemas.openxmlformats.org/officeDocument/2006/customXml" ds:itemID="{C6237591-6472-4F66-B23F-91E78AA716CD}">
  <ds:schemaRefs>
    <ds:schemaRef ds:uri="http://schemas.microsoft.com/sharepoint/v3/contenttype/forms"/>
  </ds:schemaRefs>
</ds:datastoreItem>
</file>

<file path=customXml/itemProps3.xml><?xml version="1.0" encoding="utf-8"?>
<ds:datastoreItem xmlns:ds="http://schemas.openxmlformats.org/officeDocument/2006/customXml" ds:itemID="{C1204171-283A-462C-83AB-15F056FCEFC6}">
  <ds:schemaRefs>
    <ds:schemaRef ds:uri="http://schemas.microsoft.com/office/2006/metadata/properties"/>
    <ds:schemaRef ds:uri="http://schemas.microsoft.com/office/infopath/2007/PartnerControls"/>
    <ds:schemaRef ds:uri="07373808-a26f-42a8-b3eb-fd017e1d72fe"/>
    <ds:schemaRef ds:uri="aba4ebed-5601-469d-a03b-67b9039d1904"/>
  </ds:schemaRefs>
</ds:datastoreItem>
</file>

<file path=customXml/itemProps4.xml><?xml version="1.0" encoding="utf-8"?>
<ds:datastoreItem xmlns:ds="http://schemas.openxmlformats.org/officeDocument/2006/customXml" ds:itemID="{5C206D03-C227-41EF-86B6-B836D611D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373808-a26f-42a8-b3eb-fd017e1d72fe"/>
    <ds:schemaRef ds:uri="aba4ebed-5601-469d-a03b-67b9039d1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9163767-0F5B-4608-868B-99CB101F109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10</Pages>
  <Words>2313</Words>
  <Characters>13429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ROKAS</dc:title>
  <dc:subject>Articles for Lexology</dc:subject>
  <dc:creator>Valia Masoura</dc:creator>
  <cp:keywords/>
  <dc:description/>
  <cp:lastModifiedBy>Georgia Ntalli</cp:lastModifiedBy>
  <cp:revision>101</cp:revision>
  <cp:lastPrinted>2024-12-13T13:42:00Z</cp:lastPrinted>
  <dcterms:created xsi:type="dcterms:W3CDTF">2025-08-26T09:35:00Z</dcterms:created>
  <dcterms:modified xsi:type="dcterms:W3CDTF">2026-04-15T14:41:00Z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f14f7e4e-8f47-4a55-8240-222a80706cc1</vt:lpwstr>
  </property>
  <property fmtid="{D5CDD505-2E9C-101B-9397-08002B2CF9AE}" pid="3" name="ContentTypeId">
    <vt:lpwstr>0x010100AB5859CAB6A1D64181E48CF43990205C</vt:lpwstr>
  </property>
  <property fmtid="{D5CDD505-2E9C-101B-9397-08002B2CF9AE}" pid="4" name="MediaServiceImageTags">
    <vt:lpwstr/>
  </property>
  <property fmtid="{D5CDD505-2E9C-101B-9397-08002B2CF9AE}" pid="5" name="_dlc_DocIdItemGuid">
    <vt:lpwstr>32cca219-8b95-40bb-963d-682b26ce7a5b</vt:lpwstr>
  </property>
</Properties>
</file>